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1A635" w14:textId="0ABB2A18" w:rsidR="0096454B" w:rsidRDefault="00810066" w:rsidP="00810066">
      <w:pPr>
        <w:autoSpaceDE w:val="0"/>
        <w:autoSpaceDN w:val="0"/>
        <w:adjustRightInd w:val="0"/>
        <w:spacing w:line="240" w:lineRule="auto"/>
        <w:ind w:right="-720"/>
        <w:jc w:val="center"/>
        <w:rPr>
          <w:rFonts w:cstheme="minorHAnsi"/>
          <w:b/>
        </w:rPr>
      </w:pPr>
      <w:r>
        <w:rPr>
          <w:rFonts w:cstheme="minorHAnsi"/>
          <w:b/>
        </w:rPr>
        <w:t>An Evidentialist M</w:t>
      </w:r>
      <w:r w:rsidR="00932A90" w:rsidRPr="00C85B3F">
        <w:rPr>
          <w:rFonts w:cstheme="minorHAnsi"/>
          <w:b/>
        </w:rPr>
        <w:t>odel</w:t>
      </w:r>
      <w:r>
        <w:rPr>
          <w:rFonts w:cstheme="minorHAnsi"/>
          <w:b/>
        </w:rPr>
        <w:t xml:space="preserve"> of Virtuous F</w:t>
      </w:r>
      <w:r w:rsidR="00627106">
        <w:rPr>
          <w:rFonts w:cstheme="minorHAnsi"/>
          <w:b/>
        </w:rPr>
        <w:t>aith</w:t>
      </w:r>
    </w:p>
    <w:p w14:paraId="569A3B4F" w14:textId="57F0F4D4" w:rsidR="00810066" w:rsidRDefault="00810066" w:rsidP="00810066">
      <w:pPr>
        <w:autoSpaceDE w:val="0"/>
        <w:autoSpaceDN w:val="0"/>
        <w:adjustRightInd w:val="0"/>
        <w:spacing w:after="0" w:line="240" w:lineRule="auto"/>
        <w:ind w:right="-720"/>
        <w:jc w:val="center"/>
        <w:rPr>
          <w:rFonts w:cstheme="minorHAnsi"/>
        </w:rPr>
      </w:pPr>
      <w:r w:rsidRPr="00810066">
        <w:rPr>
          <w:rFonts w:cstheme="minorHAnsi"/>
        </w:rPr>
        <w:t>Travis Dickinson</w:t>
      </w:r>
    </w:p>
    <w:p w14:paraId="51ED54FD" w14:textId="2A55A7D2" w:rsidR="00810066" w:rsidRDefault="00810066" w:rsidP="00810066">
      <w:pPr>
        <w:autoSpaceDE w:val="0"/>
        <w:autoSpaceDN w:val="0"/>
        <w:adjustRightInd w:val="0"/>
        <w:spacing w:after="0" w:line="240" w:lineRule="auto"/>
        <w:ind w:right="-720"/>
        <w:jc w:val="center"/>
        <w:rPr>
          <w:rFonts w:cstheme="minorHAnsi"/>
        </w:rPr>
      </w:pPr>
      <w:hyperlink r:id="rId8" w:history="1">
        <w:r w:rsidRPr="00FB6DDA">
          <w:rPr>
            <w:rStyle w:val="Hyperlink"/>
            <w:rFonts w:cstheme="minorHAnsi"/>
          </w:rPr>
          <w:t>www.travisdickinson.com</w:t>
        </w:r>
      </w:hyperlink>
    </w:p>
    <w:p w14:paraId="4544313C" w14:textId="2CC1535F" w:rsidR="00810066" w:rsidRDefault="00810066" w:rsidP="00810066">
      <w:pPr>
        <w:autoSpaceDE w:val="0"/>
        <w:autoSpaceDN w:val="0"/>
        <w:adjustRightInd w:val="0"/>
        <w:spacing w:after="0" w:line="240" w:lineRule="auto"/>
        <w:ind w:right="-720"/>
        <w:jc w:val="center"/>
        <w:rPr>
          <w:rFonts w:cstheme="minorHAnsi"/>
        </w:rPr>
      </w:pPr>
      <w:r>
        <w:rPr>
          <w:rFonts w:cstheme="minorHAnsi"/>
        </w:rPr>
        <w:t>tdickinson@swbts.edu</w:t>
      </w:r>
    </w:p>
    <w:p w14:paraId="3C21F86D" w14:textId="77777777" w:rsidR="00810066" w:rsidRPr="00810066" w:rsidRDefault="00810066" w:rsidP="00143EDD">
      <w:pPr>
        <w:autoSpaceDE w:val="0"/>
        <w:autoSpaceDN w:val="0"/>
        <w:adjustRightInd w:val="0"/>
        <w:spacing w:line="480" w:lineRule="auto"/>
        <w:ind w:right="-720"/>
        <w:jc w:val="center"/>
        <w:rPr>
          <w:rFonts w:cstheme="minorHAnsi"/>
        </w:rPr>
      </w:pPr>
      <w:bookmarkStart w:id="0" w:name="_GoBack"/>
      <w:bookmarkEnd w:id="0"/>
    </w:p>
    <w:p w14:paraId="20C8D9EC" w14:textId="560F10BA" w:rsidR="00932A90" w:rsidRDefault="003A2C3C" w:rsidP="00143EDD">
      <w:pPr>
        <w:autoSpaceDE w:val="0"/>
        <w:autoSpaceDN w:val="0"/>
        <w:adjustRightInd w:val="0"/>
        <w:spacing w:line="480" w:lineRule="auto"/>
        <w:ind w:right="-720" w:firstLine="720"/>
        <w:rPr>
          <w:rFonts w:cstheme="minorHAnsi"/>
        </w:rPr>
      </w:pPr>
      <w:r>
        <w:rPr>
          <w:rFonts w:cstheme="minorHAnsi"/>
        </w:rPr>
        <w:t>The notion of f</w:t>
      </w:r>
      <w:r w:rsidR="0096454B" w:rsidRPr="007E5564">
        <w:rPr>
          <w:rFonts w:cstheme="minorHAnsi"/>
        </w:rPr>
        <w:t>aith</w:t>
      </w:r>
      <w:r>
        <w:rPr>
          <w:rFonts w:cstheme="minorHAnsi"/>
        </w:rPr>
        <w:t xml:space="preserve"> </w:t>
      </w:r>
      <w:r w:rsidR="00536F8A">
        <w:rPr>
          <w:rFonts w:cstheme="minorHAnsi"/>
        </w:rPr>
        <w:t xml:space="preserve">has </w:t>
      </w:r>
      <w:r>
        <w:rPr>
          <w:rFonts w:cstheme="minorHAnsi"/>
        </w:rPr>
        <w:t xml:space="preserve">been </w:t>
      </w:r>
      <w:r w:rsidR="00B965CF">
        <w:rPr>
          <w:rFonts w:cstheme="minorHAnsi"/>
        </w:rPr>
        <w:t>variously understood—and misunderstood—</w:t>
      </w:r>
      <w:r>
        <w:rPr>
          <w:rFonts w:cstheme="minorHAnsi"/>
        </w:rPr>
        <w:t>throughout</w:t>
      </w:r>
      <w:r w:rsidR="00B965CF">
        <w:rPr>
          <w:rFonts w:cstheme="minorHAnsi"/>
        </w:rPr>
        <w:t xml:space="preserve"> </w:t>
      </w:r>
      <w:r w:rsidR="00536F8A">
        <w:rPr>
          <w:rFonts w:cstheme="minorHAnsi"/>
        </w:rPr>
        <w:t>the course of C</w:t>
      </w:r>
      <w:r>
        <w:rPr>
          <w:rFonts w:cstheme="minorHAnsi"/>
        </w:rPr>
        <w:t>hristian intellectual history. Recently, t</w:t>
      </w:r>
      <w:r w:rsidR="00536F8A">
        <w:rPr>
          <w:rFonts w:cstheme="minorHAnsi"/>
        </w:rPr>
        <w:t>here ha</w:t>
      </w:r>
      <w:r>
        <w:rPr>
          <w:rFonts w:cstheme="minorHAnsi"/>
        </w:rPr>
        <w:t xml:space="preserve">s been </w:t>
      </w:r>
      <w:r w:rsidR="00B965CF">
        <w:rPr>
          <w:rFonts w:cstheme="minorHAnsi"/>
        </w:rPr>
        <w:t xml:space="preserve">renewed interest in thinking carefully about faith, which has produced </w:t>
      </w:r>
      <w:r>
        <w:rPr>
          <w:rFonts w:cstheme="minorHAnsi"/>
        </w:rPr>
        <w:t xml:space="preserve">a spate of philosophical and analytic theological work on </w:t>
      </w:r>
      <w:r w:rsidR="00B965CF">
        <w:rPr>
          <w:rFonts w:cstheme="minorHAnsi"/>
        </w:rPr>
        <w:t>its</w:t>
      </w:r>
      <w:r>
        <w:rPr>
          <w:rFonts w:cstheme="minorHAnsi"/>
        </w:rPr>
        <w:t xml:space="preserve"> nature.</w:t>
      </w:r>
      <w:r w:rsidR="00111777">
        <w:rPr>
          <w:rStyle w:val="FootnoteReference"/>
          <w:rFonts w:cstheme="minorHAnsi"/>
        </w:rPr>
        <w:footnoteReference w:id="1"/>
      </w:r>
      <w:r>
        <w:rPr>
          <w:rFonts w:cstheme="minorHAnsi"/>
        </w:rPr>
        <w:t xml:space="preserve"> </w:t>
      </w:r>
      <w:r w:rsidR="00F76429">
        <w:rPr>
          <w:rFonts w:cstheme="minorHAnsi"/>
        </w:rPr>
        <w:t>Though these projects have produced very good work, f</w:t>
      </w:r>
      <w:r w:rsidR="00B965CF">
        <w:rPr>
          <w:rFonts w:cstheme="minorHAnsi"/>
        </w:rPr>
        <w:t>aith continues to be variously understood. It is common for an account of faith</w:t>
      </w:r>
      <w:r w:rsidR="007C0E54">
        <w:rPr>
          <w:rFonts w:cstheme="minorHAnsi"/>
        </w:rPr>
        <w:t>, especially Christian faith,</w:t>
      </w:r>
      <w:r w:rsidR="00B965CF">
        <w:rPr>
          <w:rFonts w:cstheme="minorHAnsi"/>
        </w:rPr>
        <w:t xml:space="preserve"> to see </w:t>
      </w:r>
      <w:r w:rsidR="007C0E54">
        <w:rPr>
          <w:rFonts w:cstheme="minorHAnsi"/>
        </w:rPr>
        <w:t xml:space="preserve">certain </w:t>
      </w:r>
      <w:r w:rsidR="00B965CF">
        <w:rPr>
          <w:rFonts w:cstheme="minorHAnsi"/>
        </w:rPr>
        <w:t>belief</w:t>
      </w:r>
      <w:r w:rsidR="007C0E54">
        <w:rPr>
          <w:rFonts w:cstheme="minorHAnsi"/>
        </w:rPr>
        <w:t>s</w:t>
      </w:r>
      <w:r w:rsidR="00B965CF">
        <w:rPr>
          <w:rFonts w:cstheme="minorHAnsi"/>
        </w:rPr>
        <w:t xml:space="preserve"> as necessary ingredient</w:t>
      </w:r>
      <w:r w:rsidR="007C0E54">
        <w:rPr>
          <w:rFonts w:cstheme="minorHAnsi"/>
        </w:rPr>
        <w:t>s</w:t>
      </w:r>
      <w:r w:rsidR="00B965CF">
        <w:rPr>
          <w:rFonts w:cstheme="minorHAnsi"/>
        </w:rPr>
        <w:t xml:space="preserve"> of faith or to see faith as, in some way, propositional. </w:t>
      </w:r>
      <w:r w:rsidR="0096454B" w:rsidRPr="007E5564">
        <w:rPr>
          <w:rFonts w:cstheme="minorHAnsi"/>
        </w:rPr>
        <w:t xml:space="preserve">In this paper, I </w:t>
      </w:r>
      <w:r w:rsidR="00B965CF">
        <w:rPr>
          <w:rFonts w:cstheme="minorHAnsi"/>
        </w:rPr>
        <w:t xml:space="preserve">argue </w:t>
      </w:r>
      <w:r w:rsidR="007C0E54">
        <w:rPr>
          <w:rFonts w:cstheme="minorHAnsi"/>
        </w:rPr>
        <w:t>that faith</w:t>
      </w:r>
      <w:r w:rsidR="00F76429">
        <w:rPr>
          <w:rFonts w:cstheme="minorHAnsi"/>
        </w:rPr>
        <w:t>, especially faith that’s had in the context of relationships,</w:t>
      </w:r>
      <w:r w:rsidR="007C0E54">
        <w:rPr>
          <w:rFonts w:cstheme="minorHAnsi"/>
        </w:rPr>
        <w:t xml:space="preserve"> is nonpropositional. </w:t>
      </w:r>
      <w:r w:rsidR="00F76429">
        <w:rPr>
          <w:rFonts w:cstheme="minorHAnsi"/>
        </w:rPr>
        <w:t>Instead, I argue that faith</w:t>
      </w:r>
      <w:r w:rsidR="007C0E54">
        <w:rPr>
          <w:rFonts w:cstheme="minorHAnsi"/>
        </w:rPr>
        <w:t xml:space="preserve"> is</w:t>
      </w:r>
      <w:r w:rsidR="00932A90">
        <w:rPr>
          <w:rFonts w:cstheme="minorHAnsi"/>
        </w:rPr>
        <w:t>, at bottom,</w:t>
      </w:r>
      <w:r w:rsidR="001E7217">
        <w:rPr>
          <w:rFonts w:cstheme="minorHAnsi"/>
        </w:rPr>
        <w:t xml:space="preserve"> </w:t>
      </w:r>
      <w:r w:rsidR="00102A87">
        <w:rPr>
          <w:rFonts w:cstheme="minorHAnsi"/>
        </w:rPr>
        <w:t>a</w:t>
      </w:r>
      <w:r w:rsidR="00992433">
        <w:rPr>
          <w:rFonts w:cstheme="minorHAnsi"/>
        </w:rPr>
        <w:t xml:space="preserve">n act of </w:t>
      </w:r>
      <w:r w:rsidR="00102A87">
        <w:rPr>
          <w:rFonts w:cstheme="minorHAnsi"/>
        </w:rPr>
        <w:t>ventured</w:t>
      </w:r>
      <w:r w:rsidR="00932A90">
        <w:rPr>
          <w:rFonts w:cstheme="minorHAnsi"/>
        </w:rPr>
        <w:t xml:space="preserve"> </w:t>
      </w:r>
      <w:r w:rsidR="001E7217">
        <w:rPr>
          <w:rFonts w:cstheme="minorHAnsi"/>
        </w:rPr>
        <w:t>trust</w:t>
      </w:r>
      <w:r w:rsidR="00932A90">
        <w:rPr>
          <w:rFonts w:cstheme="minorHAnsi"/>
        </w:rPr>
        <w:t>.</w:t>
      </w:r>
      <w:r w:rsidR="001E7217">
        <w:rPr>
          <w:rFonts w:cstheme="minorHAnsi"/>
        </w:rPr>
        <w:t xml:space="preserve"> </w:t>
      </w:r>
      <w:r w:rsidR="007C0E54">
        <w:rPr>
          <w:rFonts w:cstheme="minorHAnsi"/>
        </w:rPr>
        <w:t>This is not to say that beliefs and the evidence for the truth of our beliefs are unimportant. I</w:t>
      </w:r>
      <w:r w:rsidR="00F76429">
        <w:rPr>
          <w:rFonts w:cstheme="minorHAnsi"/>
        </w:rPr>
        <w:t xml:space="preserve">ndeed, I </w:t>
      </w:r>
      <w:r w:rsidR="007C0E54">
        <w:rPr>
          <w:rFonts w:cstheme="minorHAnsi"/>
        </w:rPr>
        <w:t xml:space="preserve">argue that </w:t>
      </w:r>
      <w:r w:rsidR="00102A87">
        <w:rPr>
          <w:rFonts w:cstheme="minorHAnsi"/>
        </w:rPr>
        <w:t xml:space="preserve">having </w:t>
      </w:r>
      <w:r w:rsidR="00932A90">
        <w:rPr>
          <w:rFonts w:cstheme="minorHAnsi"/>
        </w:rPr>
        <w:t xml:space="preserve">evidence </w:t>
      </w:r>
      <w:r w:rsidR="00102A87">
        <w:rPr>
          <w:rFonts w:cstheme="minorHAnsi"/>
        </w:rPr>
        <w:t xml:space="preserve">that counts in favor of faith is what </w:t>
      </w:r>
      <w:r w:rsidR="00932A90">
        <w:rPr>
          <w:rFonts w:cstheme="minorHAnsi"/>
        </w:rPr>
        <w:t xml:space="preserve">makes </w:t>
      </w:r>
      <w:r w:rsidR="00102A87">
        <w:rPr>
          <w:rFonts w:cstheme="minorHAnsi"/>
        </w:rPr>
        <w:t>faith a moral good</w:t>
      </w:r>
      <w:r w:rsidR="00932A90">
        <w:rPr>
          <w:rFonts w:cstheme="minorHAnsi"/>
        </w:rPr>
        <w:t xml:space="preserve">. </w:t>
      </w:r>
    </w:p>
    <w:p w14:paraId="516E6335" w14:textId="227977F5" w:rsidR="007F4755" w:rsidRDefault="004D2C0A" w:rsidP="007F4755">
      <w:pPr>
        <w:autoSpaceDE w:val="0"/>
        <w:autoSpaceDN w:val="0"/>
        <w:adjustRightInd w:val="0"/>
        <w:spacing w:line="480" w:lineRule="auto"/>
        <w:ind w:right="-720" w:firstLine="720"/>
        <w:rPr>
          <w:rFonts w:eastAsia="Times New Roman" w:cstheme="minorHAnsi"/>
        </w:rPr>
      </w:pPr>
      <w:r>
        <w:rPr>
          <w:rFonts w:eastAsia="Times New Roman" w:cstheme="minorHAnsi"/>
        </w:rPr>
        <w:t>There are those who think</w:t>
      </w:r>
      <w:r w:rsidR="007C0E54">
        <w:rPr>
          <w:rFonts w:eastAsia="Times New Roman" w:cstheme="minorHAnsi"/>
        </w:rPr>
        <w:t xml:space="preserve"> </w:t>
      </w:r>
      <w:r w:rsidR="008918C8">
        <w:rPr>
          <w:rFonts w:eastAsia="Times New Roman" w:cstheme="minorHAnsi"/>
        </w:rPr>
        <w:t xml:space="preserve">that Christian faith, especially saving Christian faith, is a </w:t>
      </w:r>
      <w:r w:rsidR="008918C8" w:rsidRPr="008918C8">
        <w:rPr>
          <w:rFonts w:eastAsia="Times New Roman" w:cstheme="minorHAnsi"/>
          <w:i/>
        </w:rPr>
        <w:t>sui generis</w:t>
      </w:r>
      <w:r w:rsidR="008918C8">
        <w:rPr>
          <w:rFonts w:eastAsia="Times New Roman" w:cstheme="minorHAnsi"/>
        </w:rPr>
        <w:t xml:space="preserve"> </w:t>
      </w:r>
      <w:r>
        <w:rPr>
          <w:rFonts w:eastAsia="Times New Roman" w:cstheme="minorHAnsi"/>
        </w:rPr>
        <w:t>state</w:t>
      </w:r>
      <w:r w:rsidR="008918C8">
        <w:rPr>
          <w:rFonts w:eastAsia="Times New Roman" w:cstheme="minorHAnsi"/>
        </w:rPr>
        <w:t xml:space="preserve">. </w:t>
      </w:r>
      <w:r w:rsidR="00716CF0">
        <w:rPr>
          <w:rFonts w:eastAsia="Times New Roman" w:cstheme="minorHAnsi"/>
        </w:rPr>
        <w:t>For the purposes of this paper, I’ll be assuming this is not the case.</w:t>
      </w:r>
      <w:r w:rsidR="007C0E54">
        <w:rPr>
          <w:rFonts w:eastAsia="Times New Roman" w:cstheme="minorHAnsi"/>
        </w:rPr>
        <w:t xml:space="preserve"> </w:t>
      </w:r>
      <w:r w:rsidR="00716CF0">
        <w:rPr>
          <w:rFonts w:eastAsia="Times New Roman" w:cstheme="minorHAnsi"/>
        </w:rPr>
        <w:t>The recent p</w:t>
      </w:r>
      <w:r w:rsidR="007C0E54">
        <w:rPr>
          <w:rFonts w:eastAsia="Times New Roman" w:cstheme="minorHAnsi"/>
        </w:rPr>
        <w:t xml:space="preserve">hilosophical accounts tend to </w:t>
      </w:r>
      <w:r w:rsidR="008918C8">
        <w:rPr>
          <w:rFonts w:eastAsia="Times New Roman" w:cstheme="minorHAnsi"/>
        </w:rPr>
        <w:t>assum</w:t>
      </w:r>
      <w:r w:rsidR="007C0E54">
        <w:rPr>
          <w:rFonts w:eastAsia="Times New Roman" w:cstheme="minorHAnsi"/>
        </w:rPr>
        <w:t>e</w:t>
      </w:r>
      <w:r w:rsidR="008918C8">
        <w:rPr>
          <w:rFonts w:eastAsia="Times New Roman" w:cstheme="minorHAnsi"/>
        </w:rPr>
        <w:t xml:space="preserve"> that faith</w:t>
      </w:r>
      <w:r w:rsidR="00684F9E">
        <w:rPr>
          <w:rFonts w:eastAsia="Times New Roman" w:cstheme="minorHAnsi"/>
        </w:rPr>
        <w:t>, in the Christian sense,</w:t>
      </w:r>
      <w:r w:rsidR="008918C8">
        <w:rPr>
          <w:rFonts w:eastAsia="Times New Roman" w:cstheme="minorHAnsi"/>
        </w:rPr>
        <w:t xml:space="preserve"> is </w:t>
      </w:r>
      <w:r w:rsidR="007F4755" w:rsidRPr="007E5564">
        <w:rPr>
          <w:rFonts w:eastAsia="Times New Roman" w:cstheme="minorHAnsi"/>
        </w:rPr>
        <w:t xml:space="preserve">broadly similar to </w:t>
      </w:r>
      <w:r w:rsidR="00684F9E">
        <w:rPr>
          <w:rFonts w:eastAsia="Times New Roman" w:cstheme="minorHAnsi"/>
        </w:rPr>
        <w:t xml:space="preserve">faith we have in the contexts of </w:t>
      </w:r>
      <w:r w:rsidR="00792094">
        <w:rPr>
          <w:rFonts w:eastAsia="Times New Roman" w:cstheme="minorHAnsi"/>
        </w:rPr>
        <w:t>other relationships</w:t>
      </w:r>
      <w:r>
        <w:rPr>
          <w:rFonts w:eastAsia="Times New Roman" w:cstheme="minorHAnsi"/>
        </w:rPr>
        <w:t>,</w:t>
      </w:r>
      <w:r w:rsidR="00792094">
        <w:rPr>
          <w:rFonts w:eastAsia="Times New Roman" w:cstheme="minorHAnsi"/>
        </w:rPr>
        <w:t xml:space="preserve"> such as the </w:t>
      </w:r>
      <w:r w:rsidR="007F4755" w:rsidRPr="007E5564">
        <w:rPr>
          <w:rFonts w:eastAsia="Times New Roman" w:cstheme="minorHAnsi"/>
        </w:rPr>
        <w:t>faith had between spouses or the faith a child places in a parent</w:t>
      </w:r>
      <w:r w:rsidR="007C0E54">
        <w:rPr>
          <w:rFonts w:eastAsia="Times New Roman" w:cstheme="minorHAnsi"/>
        </w:rPr>
        <w:t>.</w:t>
      </w:r>
      <w:r w:rsidR="00293E32">
        <w:rPr>
          <w:rFonts w:eastAsia="Times New Roman" w:cstheme="minorHAnsi"/>
        </w:rPr>
        <w:t xml:space="preserve"> </w:t>
      </w:r>
      <w:r w:rsidR="007C0E54">
        <w:rPr>
          <w:rFonts w:eastAsia="Times New Roman" w:cstheme="minorHAnsi"/>
        </w:rPr>
        <w:t xml:space="preserve">The approach I shall adopt here is that </w:t>
      </w:r>
      <w:r w:rsidR="00716CF0">
        <w:rPr>
          <w:rFonts w:eastAsia="Times New Roman" w:cstheme="minorHAnsi"/>
        </w:rPr>
        <w:t>by</w:t>
      </w:r>
      <w:r w:rsidR="001B4B05">
        <w:rPr>
          <w:rFonts w:eastAsia="Times New Roman" w:cstheme="minorHAnsi"/>
        </w:rPr>
        <w:t xml:space="preserve"> understand</w:t>
      </w:r>
      <w:r w:rsidR="00716CF0">
        <w:rPr>
          <w:rFonts w:eastAsia="Times New Roman" w:cstheme="minorHAnsi"/>
        </w:rPr>
        <w:t>ing</w:t>
      </w:r>
      <w:r w:rsidR="00293E32">
        <w:rPr>
          <w:rFonts w:eastAsia="Times New Roman" w:cstheme="minorHAnsi"/>
        </w:rPr>
        <w:t xml:space="preserve"> faith </w:t>
      </w:r>
      <w:r w:rsidR="00716CF0">
        <w:rPr>
          <w:rFonts w:eastAsia="Times New Roman" w:cstheme="minorHAnsi"/>
        </w:rPr>
        <w:t xml:space="preserve">exemplified </w:t>
      </w:r>
      <w:r w:rsidR="00293E32">
        <w:rPr>
          <w:rFonts w:eastAsia="Times New Roman" w:cstheme="minorHAnsi"/>
        </w:rPr>
        <w:t xml:space="preserve">in </w:t>
      </w:r>
      <w:r w:rsidR="00716CF0">
        <w:rPr>
          <w:rFonts w:eastAsia="Times New Roman" w:cstheme="minorHAnsi"/>
        </w:rPr>
        <w:t>ordinary cases this can</w:t>
      </w:r>
      <w:r w:rsidR="00293E32">
        <w:rPr>
          <w:rFonts w:eastAsia="Times New Roman" w:cstheme="minorHAnsi"/>
        </w:rPr>
        <w:t xml:space="preserve"> </w:t>
      </w:r>
      <w:r w:rsidR="00716CF0">
        <w:rPr>
          <w:rFonts w:eastAsia="Times New Roman" w:cstheme="minorHAnsi"/>
        </w:rPr>
        <w:t>shed</w:t>
      </w:r>
      <w:r w:rsidR="006B31E5">
        <w:rPr>
          <w:rFonts w:eastAsia="Times New Roman" w:cstheme="minorHAnsi"/>
        </w:rPr>
        <w:t xml:space="preserve"> light on</w:t>
      </w:r>
      <w:r w:rsidR="00293E32">
        <w:rPr>
          <w:rFonts w:eastAsia="Times New Roman" w:cstheme="minorHAnsi"/>
        </w:rPr>
        <w:t xml:space="preserve"> Christian fait</w:t>
      </w:r>
      <w:r w:rsidR="006B31E5">
        <w:rPr>
          <w:rFonts w:eastAsia="Times New Roman" w:cstheme="minorHAnsi"/>
        </w:rPr>
        <w:t>h</w:t>
      </w:r>
      <w:r w:rsidR="007F4755" w:rsidRPr="007E5564">
        <w:rPr>
          <w:rFonts w:eastAsia="Times New Roman" w:cstheme="minorHAnsi"/>
        </w:rPr>
        <w:t xml:space="preserve">. </w:t>
      </w:r>
      <w:r w:rsidR="003C1C1E">
        <w:rPr>
          <w:rFonts w:eastAsia="Times New Roman" w:cstheme="minorHAnsi"/>
        </w:rPr>
        <w:t xml:space="preserve">So Christian faith may not be </w:t>
      </w:r>
      <w:r w:rsidR="003C1C1E" w:rsidRPr="003C1C1E">
        <w:rPr>
          <w:rFonts w:eastAsia="Times New Roman" w:cstheme="minorHAnsi"/>
          <w:i/>
        </w:rPr>
        <w:t>sui generis</w:t>
      </w:r>
      <w:r w:rsidR="003C1C1E">
        <w:rPr>
          <w:rFonts w:eastAsia="Times New Roman" w:cstheme="minorHAnsi"/>
        </w:rPr>
        <w:t xml:space="preserve"> but it is certainly unique in </w:t>
      </w:r>
      <w:r w:rsidR="003C1C1E">
        <w:rPr>
          <w:rFonts w:eastAsia="Times New Roman" w:cstheme="minorHAnsi"/>
        </w:rPr>
        <w:lastRenderedPageBreak/>
        <w:t>terms of t</w:t>
      </w:r>
      <w:r w:rsidR="007F4755" w:rsidRPr="007E5564">
        <w:rPr>
          <w:rFonts w:eastAsia="Times New Roman" w:cstheme="minorHAnsi"/>
        </w:rPr>
        <w:t xml:space="preserve">he object of </w:t>
      </w:r>
      <w:r w:rsidR="003C1C1E">
        <w:rPr>
          <w:rFonts w:eastAsia="Times New Roman" w:cstheme="minorHAnsi"/>
        </w:rPr>
        <w:t xml:space="preserve">Christian </w:t>
      </w:r>
      <w:r w:rsidR="007F4755" w:rsidRPr="007E5564">
        <w:rPr>
          <w:rFonts w:eastAsia="Times New Roman" w:cstheme="minorHAnsi"/>
        </w:rPr>
        <w:t>faith. If the Christian view is right, Christ is a uniquely qualified object of faith</w:t>
      </w:r>
      <w:r w:rsidR="003C1C1E">
        <w:rPr>
          <w:rFonts w:eastAsia="Times New Roman" w:cstheme="minorHAnsi"/>
        </w:rPr>
        <w:t>.</w:t>
      </w:r>
    </w:p>
    <w:p w14:paraId="2AB34D87" w14:textId="77777777" w:rsidR="00F76429" w:rsidRPr="007E5564" w:rsidRDefault="00F76429" w:rsidP="007F4755">
      <w:pPr>
        <w:autoSpaceDE w:val="0"/>
        <w:autoSpaceDN w:val="0"/>
        <w:adjustRightInd w:val="0"/>
        <w:spacing w:line="480" w:lineRule="auto"/>
        <w:ind w:right="-720" w:firstLine="720"/>
        <w:rPr>
          <w:rFonts w:eastAsia="Times New Roman" w:cstheme="minorHAnsi"/>
        </w:rPr>
      </w:pPr>
    </w:p>
    <w:p w14:paraId="7CD0FEAD" w14:textId="173776C8" w:rsidR="0012440C" w:rsidRPr="007E5564" w:rsidRDefault="0012440C" w:rsidP="00143EDD">
      <w:pPr>
        <w:autoSpaceDE w:val="0"/>
        <w:autoSpaceDN w:val="0"/>
        <w:adjustRightInd w:val="0"/>
        <w:spacing w:after="200" w:line="480" w:lineRule="auto"/>
        <w:ind w:right="-720"/>
        <w:rPr>
          <w:rFonts w:cstheme="minorHAnsi"/>
          <w:b/>
        </w:rPr>
      </w:pPr>
      <w:r w:rsidRPr="007E5564">
        <w:rPr>
          <w:rFonts w:cstheme="minorHAnsi"/>
          <w:b/>
        </w:rPr>
        <w:t>Faith as belief</w:t>
      </w:r>
      <w:r w:rsidR="001B4B05">
        <w:rPr>
          <w:rFonts w:cstheme="minorHAnsi"/>
          <w:b/>
        </w:rPr>
        <w:t>?</w:t>
      </w:r>
    </w:p>
    <w:p w14:paraId="67FFEEAF" w14:textId="201105E2" w:rsidR="00CD10F1" w:rsidRDefault="0096454B" w:rsidP="00CD10F1">
      <w:pPr>
        <w:spacing w:line="480" w:lineRule="auto"/>
        <w:ind w:firstLine="720"/>
        <w:rPr>
          <w:rFonts w:eastAsia="Times New Roman" w:cstheme="minorHAnsi"/>
        </w:rPr>
      </w:pPr>
      <w:r w:rsidRPr="00673F65">
        <w:rPr>
          <w:rFonts w:cstheme="minorHAnsi"/>
        </w:rPr>
        <w:t xml:space="preserve">A lot of people </w:t>
      </w:r>
      <w:r w:rsidR="00C933D1">
        <w:rPr>
          <w:rFonts w:cstheme="minorHAnsi"/>
        </w:rPr>
        <w:t>tell us</w:t>
      </w:r>
      <w:r w:rsidRPr="00673F65">
        <w:rPr>
          <w:rFonts w:cstheme="minorHAnsi"/>
        </w:rPr>
        <w:t xml:space="preserve"> </w:t>
      </w:r>
      <w:r w:rsidR="00423E04">
        <w:rPr>
          <w:rFonts w:cstheme="minorHAnsi"/>
        </w:rPr>
        <w:t>what religious</w:t>
      </w:r>
      <w:r w:rsidRPr="00673F65">
        <w:rPr>
          <w:rFonts w:cstheme="minorHAnsi"/>
        </w:rPr>
        <w:t xml:space="preserve"> faith</w:t>
      </w:r>
      <w:r w:rsidR="00C933D1">
        <w:rPr>
          <w:rFonts w:cstheme="minorHAnsi"/>
        </w:rPr>
        <w:t xml:space="preserve"> amounts to</w:t>
      </w:r>
      <w:r w:rsidRPr="00673F65">
        <w:rPr>
          <w:rFonts w:cstheme="minorHAnsi"/>
        </w:rPr>
        <w:t xml:space="preserve">. </w:t>
      </w:r>
      <w:r w:rsidR="00C933D1">
        <w:rPr>
          <w:rFonts w:cstheme="minorHAnsi"/>
        </w:rPr>
        <w:t>W</w:t>
      </w:r>
      <w:r w:rsidRPr="00673F65">
        <w:rPr>
          <w:rFonts w:cstheme="minorHAnsi"/>
        </w:rPr>
        <w:t xml:space="preserve">e can dispense rather quickly with what amount to mere caricatures. Richard Dawkins is one of the most famous who </w:t>
      </w:r>
      <w:r w:rsidR="008918C8">
        <w:rPr>
          <w:rFonts w:cstheme="minorHAnsi"/>
        </w:rPr>
        <w:t>decry</w:t>
      </w:r>
      <w:r w:rsidR="00F67B71" w:rsidRPr="00673F65">
        <w:rPr>
          <w:rFonts w:cstheme="minorHAnsi"/>
        </w:rPr>
        <w:t xml:space="preserve"> </w:t>
      </w:r>
      <w:r w:rsidRPr="00673F65">
        <w:rPr>
          <w:rFonts w:cstheme="minorHAnsi"/>
        </w:rPr>
        <w:t xml:space="preserve">faith. </w:t>
      </w:r>
      <w:r w:rsidR="00673F65" w:rsidRPr="00673F65">
        <w:rPr>
          <w:rFonts w:cstheme="minorHAnsi"/>
        </w:rPr>
        <w:t>He says “</w:t>
      </w:r>
      <w:r w:rsidR="00673F65" w:rsidRPr="00673F65">
        <w:rPr>
          <w:rFonts w:eastAsia="Times New Roman" w:cstheme="minorHAnsi"/>
        </w:rPr>
        <w:t>Faith is belief in spite of, even perhaps because of, the lack of evidence.”</w:t>
      </w:r>
      <w:r w:rsidR="00762C7C">
        <w:rPr>
          <w:rStyle w:val="FootnoteReference"/>
          <w:rFonts w:eastAsia="Times New Roman" w:cstheme="minorHAnsi"/>
        </w:rPr>
        <w:footnoteReference w:id="2"/>
      </w:r>
      <w:r w:rsidR="00673F65">
        <w:rPr>
          <w:rFonts w:eastAsia="Times New Roman" w:cstheme="minorHAnsi"/>
        </w:rPr>
        <w:t xml:space="preserve"> </w:t>
      </w:r>
      <w:r w:rsidR="00FB2F60">
        <w:rPr>
          <w:rFonts w:eastAsia="Times New Roman" w:cstheme="minorHAnsi"/>
        </w:rPr>
        <w:t xml:space="preserve">This is not an uncommon way to dismiss faith whole cloth. </w:t>
      </w:r>
      <w:r w:rsidR="00997F5B">
        <w:rPr>
          <w:rFonts w:eastAsia="Times New Roman" w:cstheme="minorHAnsi"/>
        </w:rPr>
        <w:t>It</w:t>
      </w:r>
      <w:r w:rsidR="00102852">
        <w:rPr>
          <w:rFonts w:eastAsia="Times New Roman" w:cstheme="minorHAnsi"/>
        </w:rPr>
        <w:t xml:space="preserve"> is reminiscent of the </w:t>
      </w:r>
      <w:r w:rsidRPr="007E5564">
        <w:rPr>
          <w:rFonts w:cstheme="minorHAnsi"/>
        </w:rPr>
        <w:t>Mark Twain</w:t>
      </w:r>
      <w:r w:rsidR="00102852">
        <w:rPr>
          <w:rFonts w:cstheme="minorHAnsi"/>
        </w:rPr>
        <w:t>’s schoolboy who</w:t>
      </w:r>
      <w:r w:rsidRPr="007E5564">
        <w:rPr>
          <w:rFonts w:cstheme="minorHAnsi"/>
        </w:rPr>
        <w:t xml:space="preserve"> </w:t>
      </w:r>
      <w:r w:rsidR="00423E04">
        <w:rPr>
          <w:rFonts w:cstheme="minorHAnsi"/>
        </w:rPr>
        <w:t>famou</w:t>
      </w:r>
      <w:r w:rsidR="00102852">
        <w:rPr>
          <w:rFonts w:cstheme="minorHAnsi"/>
        </w:rPr>
        <w:t>sly puts it as</w:t>
      </w:r>
      <w:r w:rsidR="00C933D1">
        <w:rPr>
          <w:rFonts w:cstheme="minorHAnsi"/>
        </w:rPr>
        <w:t>,</w:t>
      </w:r>
      <w:r w:rsidR="00423E04">
        <w:rPr>
          <w:rFonts w:cstheme="minorHAnsi"/>
        </w:rPr>
        <w:t xml:space="preserve"> </w:t>
      </w:r>
      <w:r w:rsidRPr="007E5564">
        <w:rPr>
          <w:rFonts w:eastAsia="Times New Roman" w:cstheme="minorHAnsi"/>
        </w:rPr>
        <w:t>“</w:t>
      </w:r>
      <w:r w:rsidRPr="007E5564">
        <w:rPr>
          <w:rFonts w:cstheme="minorHAnsi"/>
        </w:rPr>
        <w:t>Faith is believing what you know ain't so."</w:t>
      </w:r>
      <w:r w:rsidRPr="007E5564">
        <w:rPr>
          <w:rFonts w:cstheme="minorHAnsi"/>
          <w:vertAlign w:val="superscript"/>
        </w:rPr>
        <w:footnoteReference w:id="3"/>
      </w:r>
      <w:r w:rsidR="0012440C" w:rsidRPr="007E5564">
        <w:rPr>
          <w:rFonts w:cstheme="minorHAnsi"/>
        </w:rPr>
        <w:t xml:space="preserve"> </w:t>
      </w:r>
      <w:r w:rsidR="00FB2F60">
        <w:rPr>
          <w:rFonts w:cstheme="minorHAnsi"/>
        </w:rPr>
        <w:t>The most</w:t>
      </w:r>
      <w:r w:rsidRPr="007E5564">
        <w:rPr>
          <w:rFonts w:cstheme="minorHAnsi"/>
        </w:rPr>
        <w:t xml:space="preserve"> obnoxious </w:t>
      </w:r>
      <w:r w:rsidR="00C933D1">
        <w:rPr>
          <w:rFonts w:cstheme="minorHAnsi"/>
        </w:rPr>
        <w:t>dismissal</w:t>
      </w:r>
      <w:r w:rsidR="002D7589">
        <w:rPr>
          <w:rFonts w:cstheme="minorHAnsi"/>
        </w:rPr>
        <w:t xml:space="preserve"> of</w:t>
      </w:r>
      <w:r w:rsidR="00FB2F60">
        <w:rPr>
          <w:rFonts w:cstheme="minorHAnsi"/>
        </w:rPr>
        <w:t xml:space="preserve"> faith </w:t>
      </w:r>
      <w:r w:rsidR="002D7589">
        <w:rPr>
          <w:rFonts w:cstheme="minorHAnsi"/>
        </w:rPr>
        <w:t>come</w:t>
      </w:r>
      <w:r w:rsidR="00C933D1">
        <w:rPr>
          <w:rFonts w:cstheme="minorHAnsi"/>
        </w:rPr>
        <w:t>s</w:t>
      </w:r>
      <w:r w:rsidRPr="007E5564">
        <w:rPr>
          <w:rFonts w:cstheme="minorHAnsi"/>
        </w:rPr>
        <w:t xml:space="preserve"> from Peter Boghossian who </w:t>
      </w:r>
      <w:r w:rsidR="00CD10F1">
        <w:rPr>
          <w:rFonts w:cstheme="minorHAnsi"/>
        </w:rPr>
        <w:t>thinks</w:t>
      </w:r>
      <w:r w:rsidR="00F67B71" w:rsidRPr="007E5564">
        <w:rPr>
          <w:rFonts w:cstheme="minorHAnsi"/>
        </w:rPr>
        <w:t xml:space="preserve"> faith</w:t>
      </w:r>
      <w:r w:rsidR="00CD10F1">
        <w:rPr>
          <w:rFonts w:cstheme="minorHAnsi"/>
        </w:rPr>
        <w:t xml:space="preserve"> is</w:t>
      </w:r>
      <w:r w:rsidR="00F67B71" w:rsidRPr="007E5564">
        <w:rPr>
          <w:rFonts w:cstheme="minorHAnsi"/>
        </w:rPr>
        <w:t xml:space="preserve"> a virus that needs to be eradicated. He </w:t>
      </w:r>
      <w:r w:rsidR="00673F65">
        <w:rPr>
          <w:rFonts w:cstheme="minorHAnsi"/>
        </w:rPr>
        <w:t>characterizes</w:t>
      </w:r>
      <w:r w:rsidR="00F67B71" w:rsidRPr="007E5564">
        <w:rPr>
          <w:rFonts w:cstheme="minorHAnsi"/>
        </w:rPr>
        <w:t xml:space="preserve"> faith as </w:t>
      </w:r>
      <w:r w:rsidRPr="007E5564">
        <w:rPr>
          <w:rFonts w:eastAsia="Times New Roman" w:cstheme="minorHAnsi"/>
        </w:rPr>
        <w:t>“pretending to know things that you don’t know” and the slightly (but only slightly) more charitable “belief without evidence.”</w:t>
      </w:r>
      <w:r w:rsidRPr="007E5564">
        <w:rPr>
          <w:rFonts w:cstheme="minorHAnsi"/>
          <w:vertAlign w:val="superscript"/>
        </w:rPr>
        <w:footnoteReference w:id="4"/>
      </w:r>
      <w:r w:rsidR="00CD10F1">
        <w:rPr>
          <w:rFonts w:cstheme="minorHAnsi"/>
        </w:rPr>
        <w:t xml:space="preserve"> </w:t>
      </w:r>
      <w:r w:rsidRPr="007E5564">
        <w:rPr>
          <w:rFonts w:cstheme="minorHAnsi"/>
        </w:rPr>
        <w:t xml:space="preserve">Now these do not warrant much response </w:t>
      </w:r>
      <w:r w:rsidR="00F67B71" w:rsidRPr="007E5564">
        <w:rPr>
          <w:rFonts w:cstheme="minorHAnsi"/>
        </w:rPr>
        <w:t xml:space="preserve">here </w:t>
      </w:r>
      <w:r w:rsidRPr="007E5564">
        <w:rPr>
          <w:rFonts w:cstheme="minorHAnsi"/>
        </w:rPr>
        <w:t xml:space="preserve">simply because they themselves take no time to understand or engage what thoughtful Christians mean by the term </w:t>
      </w:r>
      <w:r w:rsidRPr="007E5564">
        <w:rPr>
          <w:rFonts w:eastAsia="Times New Roman" w:cstheme="minorHAnsi"/>
        </w:rPr>
        <w:t xml:space="preserve">‘faith.’ However, they each </w:t>
      </w:r>
      <w:r w:rsidR="007B66F0">
        <w:rPr>
          <w:rFonts w:eastAsia="Times New Roman" w:cstheme="minorHAnsi"/>
        </w:rPr>
        <w:t>illustrate</w:t>
      </w:r>
      <w:r w:rsidRPr="007E5564">
        <w:rPr>
          <w:rFonts w:eastAsia="Times New Roman" w:cstheme="minorHAnsi"/>
        </w:rPr>
        <w:t xml:space="preserve"> what I think is an important mistake. They each </w:t>
      </w:r>
      <w:r w:rsidR="00F67B71" w:rsidRPr="007E5564">
        <w:rPr>
          <w:rFonts w:eastAsia="Times New Roman" w:cstheme="minorHAnsi"/>
        </w:rPr>
        <w:t xml:space="preserve">assume faith </w:t>
      </w:r>
      <w:r w:rsidR="00997F5B">
        <w:rPr>
          <w:rFonts w:eastAsia="Times New Roman" w:cstheme="minorHAnsi"/>
        </w:rPr>
        <w:t>in every instance is</w:t>
      </w:r>
      <w:r w:rsidR="00CD10F1">
        <w:rPr>
          <w:rFonts w:eastAsia="Times New Roman" w:cstheme="minorHAnsi"/>
        </w:rPr>
        <w:t xml:space="preserve"> </w:t>
      </w:r>
      <w:r w:rsidRPr="007E5564">
        <w:rPr>
          <w:rFonts w:eastAsia="Times New Roman" w:cstheme="minorHAnsi"/>
        </w:rPr>
        <w:t xml:space="preserve">a </w:t>
      </w:r>
      <w:r w:rsidR="00607E6D">
        <w:rPr>
          <w:rFonts w:eastAsia="Times New Roman" w:cstheme="minorHAnsi"/>
        </w:rPr>
        <w:t>doxastic attitude</w:t>
      </w:r>
      <w:r w:rsidRPr="007E5564">
        <w:rPr>
          <w:rFonts w:eastAsia="Times New Roman" w:cstheme="minorHAnsi"/>
        </w:rPr>
        <w:t xml:space="preserve">.  </w:t>
      </w:r>
    </w:p>
    <w:p w14:paraId="55912AFE" w14:textId="66E8403F" w:rsidR="0096454B" w:rsidRPr="007E5564" w:rsidRDefault="00607E6D" w:rsidP="00CD10F1">
      <w:pPr>
        <w:spacing w:line="480" w:lineRule="auto"/>
        <w:ind w:firstLine="720"/>
        <w:rPr>
          <w:rFonts w:cstheme="minorHAnsi"/>
        </w:rPr>
      </w:pPr>
      <w:r>
        <w:rPr>
          <w:rFonts w:cstheme="minorHAnsi"/>
        </w:rPr>
        <w:t xml:space="preserve">The mistake is one of taking faith too rigidly. </w:t>
      </w:r>
      <w:r w:rsidR="00CD10F1">
        <w:rPr>
          <w:rFonts w:cstheme="minorHAnsi"/>
        </w:rPr>
        <w:t>T</w:t>
      </w:r>
      <w:r w:rsidR="00D17AD5">
        <w:rPr>
          <w:rFonts w:cstheme="minorHAnsi"/>
        </w:rPr>
        <w:t>he</w:t>
      </w:r>
      <w:r w:rsidR="00CD10F1">
        <w:rPr>
          <w:rFonts w:cstheme="minorHAnsi"/>
        </w:rPr>
        <w:t>re’s no doubt the</w:t>
      </w:r>
      <w:r w:rsidR="00D17AD5">
        <w:rPr>
          <w:rFonts w:cstheme="minorHAnsi"/>
        </w:rPr>
        <w:t xml:space="preserve"> term ‘faith’ is used in a variety of ways to express of variety of different things</w:t>
      </w:r>
      <w:r w:rsidR="0037774B">
        <w:rPr>
          <w:rFonts w:cstheme="minorHAnsi"/>
        </w:rPr>
        <w:t xml:space="preserve">, including </w:t>
      </w:r>
      <w:r>
        <w:rPr>
          <w:rFonts w:cstheme="minorHAnsi"/>
        </w:rPr>
        <w:t>states of belief</w:t>
      </w:r>
      <w:r w:rsidR="00D17AD5">
        <w:rPr>
          <w:rFonts w:cstheme="minorHAnsi"/>
        </w:rPr>
        <w:t xml:space="preserve">. </w:t>
      </w:r>
      <w:r w:rsidR="0037774B">
        <w:rPr>
          <w:rFonts w:cstheme="minorHAnsi"/>
        </w:rPr>
        <w:t>In fact, t</w:t>
      </w:r>
      <w:r w:rsidR="0096454B" w:rsidRPr="007E5564">
        <w:rPr>
          <w:rFonts w:cstheme="minorHAnsi"/>
        </w:rPr>
        <w:t>here is</w:t>
      </w:r>
      <w:r w:rsidR="0037774B">
        <w:rPr>
          <w:rFonts w:cstheme="minorHAnsi"/>
        </w:rPr>
        <w:t xml:space="preserve"> </w:t>
      </w:r>
      <w:r w:rsidR="0096454B" w:rsidRPr="007E5564">
        <w:rPr>
          <w:rFonts w:cstheme="minorHAnsi"/>
        </w:rPr>
        <w:t xml:space="preserve">a usage of the term </w:t>
      </w:r>
      <w:r w:rsidR="0096454B" w:rsidRPr="007E5564">
        <w:rPr>
          <w:rFonts w:eastAsia="Times New Roman" w:cstheme="minorHAnsi"/>
        </w:rPr>
        <w:t>‘faith’ where we intend something like the core beliefs of Christianity in saying</w:t>
      </w:r>
      <w:r w:rsidR="00CD10F1">
        <w:rPr>
          <w:rFonts w:eastAsia="Times New Roman" w:cstheme="minorHAnsi"/>
        </w:rPr>
        <w:t>,</w:t>
      </w:r>
      <w:r w:rsidR="0096454B" w:rsidRPr="007E5564">
        <w:rPr>
          <w:rFonts w:eastAsia="Times New Roman" w:cstheme="minorHAnsi"/>
        </w:rPr>
        <w:t xml:space="preserve"> “I hold to the tenets of the Christian faith.” </w:t>
      </w:r>
      <w:r w:rsidR="00751136">
        <w:rPr>
          <w:rFonts w:eastAsia="Times New Roman" w:cstheme="minorHAnsi"/>
        </w:rPr>
        <w:t xml:space="preserve">It also seems possible to </w:t>
      </w:r>
      <w:r w:rsidR="0096454B" w:rsidRPr="007E5564">
        <w:rPr>
          <w:rFonts w:eastAsia="Times New Roman" w:cstheme="minorHAnsi"/>
        </w:rPr>
        <w:t xml:space="preserve">say something like “S has faith that p” </w:t>
      </w:r>
      <w:r w:rsidR="00751136">
        <w:rPr>
          <w:rFonts w:eastAsia="Times New Roman" w:cstheme="minorHAnsi"/>
        </w:rPr>
        <w:t xml:space="preserve">as a way to </w:t>
      </w:r>
      <w:r>
        <w:rPr>
          <w:rFonts w:eastAsia="Times New Roman" w:cstheme="minorHAnsi"/>
        </w:rPr>
        <w:t xml:space="preserve">simply </w:t>
      </w:r>
      <w:r w:rsidR="00751136">
        <w:rPr>
          <w:rFonts w:eastAsia="Times New Roman" w:cstheme="minorHAnsi"/>
        </w:rPr>
        <w:t>express “S believes that p</w:t>
      </w:r>
      <w:r w:rsidR="00CD10F1">
        <w:rPr>
          <w:rFonts w:eastAsia="Times New Roman" w:cstheme="minorHAnsi"/>
        </w:rPr>
        <w:t>,</w:t>
      </w:r>
      <w:r w:rsidR="004A6147">
        <w:rPr>
          <w:rFonts w:eastAsia="Times New Roman" w:cstheme="minorHAnsi"/>
        </w:rPr>
        <w:t>”</w:t>
      </w:r>
      <w:r w:rsidR="00751136">
        <w:rPr>
          <w:rFonts w:eastAsia="Times New Roman" w:cstheme="minorHAnsi"/>
        </w:rPr>
        <w:t xml:space="preserve"> perhaps as a</w:t>
      </w:r>
      <w:r w:rsidR="00CD10F1">
        <w:rPr>
          <w:rFonts w:eastAsia="Times New Roman" w:cstheme="minorHAnsi"/>
        </w:rPr>
        <w:t xml:space="preserve">n expression of </w:t>
      </w:r>
      <w:r w:rsidR="00CD10F1">
        <w:rPr>
          <w:rFonts w:eastAsia="Times New Roman" w:cstheme="minorHAnsi"/>
        </w:rPr>
        <w:lastRenderedPageBreak/>
        <w:t>especially</w:t>
      </w:r>
      <w:r w:rsidR="00751136">
        <w:rPr>
          <w:rFonts w:eastAsia="Times New Roman" w:cstheme="minorHAnsi"/>
        </w:rPr>
        <w:t xml:space="preserve"> strong belief in the face of </w:t>
      </w:r>
      <w:r>
        <w:rPr>
          <w:rFonts w:eastAsia="Times New Roman" w:cstheme="minorHAnsi"/>
        </w:rPr>
        <w:t>counter</w:t>
      </w:r>
      <w:r w:rsidR="00751136">
        <w:rPr>
          <w:rFonts w:eastAsia="Times New Roman" w:cstheme="minorHAnsi"/>
        </w:rPr>
        <w:t>evidence.</w:t>
      </w:r>
      <w:r w:rsidR="004A6147">
        <w:rPr>
          <w:rFonts w:eastAsia="Times New Roman" w:cstheme="minorHAnsi"/>
        </w:rPr>
        <w:t xml:space="preserve"> </w:t>
      </w:r>
      <w:r w:rsidR="00CD10F1">
        <w:rPr>
          <w:rFonts w:eastAsia="Times New Roman" w:cstheme="minorHAnsi"/>
        </w:rPr>
        <w:t>My</w:t>
      </w:r>
      <w:r w:rsidR="00751136">
        <w:rPr>
          <w:rFonts w:eastAsia="Times New Roman" w:cstheme="minorHAnsi"/>
        </w:rPr>
        <w:t xml:space="preserve"> concession here is </w:t>
      </w:r>
      <w:r>
        <w:rPr>
          <w:rFonts w:eastAsia="Times New Roman" w:cstheme="minorHAnsi"/>
        </w:rPr>
        <w:t xml:space="preserve">only </w:t>
      </w:r>
      <w:r w:rsidR="00751136">
        <w:rPr>
          <w:rFonts w:eastAsia="Times New Roman" w:cstheme="minorHAnsi"/>
        </w:rPr>
        <w:t>that the term ‘faith</w:t>
      </w:r>
      <w:r w:rsidR="00DE57D6">
        <w:rPr>
          <w:rFonts w:eastAsia="Times New Roman" w:cstheme="minorHAnsi"/>
        </w:rPr>
        <w:t>,</w:t>
      </w:r>
      <w:r w:rsidR="00751136">
        <w:rPr>
          <w:rFonts w:eastAsia="Times New Roman" w:cstheme="minorHAnsi"/>
        </w:rPr>
        <w:t>’ as it is actually used in everyday discourse</w:t>
      </w:r>
      <w:r w:rsidR="00DE57D6">
        <w:rPr>
          <w:rFonts w:eastAsia="Times New Roman" w:cstheme="minorHAnsi"/>
        </w:rPr>
        <w:t>,</w:t>
      </w:r>
      <w:r w:rsidR="00751136">
        <w:rPr>
          <w:rFonts w:eastAsia="Times New Roman" w:cstheme="minorHAnsi"/>
        </w:rPr>
        <w:t xml:space="preserve"> has</w:t>
      </w:r>
      <w:r w:rsidR="00DE57D6">
        <w:rPr>
          <w:rFonts w:eastAsia="Times New Roman" w:cstheme="minorHAnsi"/>
        </w:rPr>
        <w:t xml:space="preserve"> </w:t>
      </w:r>
      <w:r w:rsidR="00751136">
        <w:rPr>
          <w:rFonts w:eastAsia="Times New Roman" w:cstheme="minorHAnsi"/>
        </w:rPr>
        <w:t xml:space="preserve">a complex semantic range. </w:t>
      </w:r>
      <w:r w:rsidR="00DE57D6">
        <w:rPr>
          <w:rFonts w:eastAsia="Times New Roman" w:cstheme="minorHAnsi"/>
        </w:rPr>
        <w:t>There is of course no one way in which it is used. So the statements above are problematic given that they do not recognize this complexity</w:t>
      </w:r>
      <w:r w:rsidR="00751136">
        <w:rPr>
          <w:rFonts w:eastAsia="Times New Roman" w:cstheme="minorHAnsi"/>
        </w:rPr>
        <w:t xml:space="preserve">. </w:t>
      </w:r>
      <w:r w:rsidR="00DE57D6">
        <w:rPr>
          <w:rFonts w:eastAsia="Times New Roman" w:cstheme="minorHAnsi"/>
        </w:rPr>
        <w:t xml:space="preserve">It seems plausible that people do sometimes </w:t>
      </w:r>
      <w:r w:rsidR="00CD10F1">
        <w:rPr>
          <w:rFonts w:eastAsia="Times New Roman" w:cstheme="minorHAnsi"/>
        </w:rPr>
        <w:t>intend the term to mean</w:t>
      </w:r>
      <w:r w:rsidR="00DE57D6">
        <w:rPr>
          <w:rFonts w:eastAsia="Times New Roman" w:cstheme="minorHAnsi"/>
        </w:rPr>
        <w:t xml:space="preserve"> belief without evidence or intend some other sort of doxastic state. I don’t</w:t>
      </w:r>
      <w:r w:rsidR="00CD10F1">
        <w:rPr>
          <w:rFonts w:eastAsia="Times New Roman" w:cstheme="minorHAnsi"/>
        </w:rPr>
        <w:t>, however,</w:t>
      </w:r>
      <w:r w:rsidR="00DE57D6">
        <w:rPr>
          <w:rFonts w:eastAsia="Times New Roman" w:cstheme="minorHAnsi"/>
        </w:rPr>
        <w:t xml:space="preserve"> think this is </w:t>
      </w:r>
      <w:r w:rsidR="00CD10F1">
        <w:rPr>
          <w:rFonts w:eastAsia="Times New Roman" w:cstheme="minorHAnsi"/>
        </w:rPr>
        <w:t>the</w:t>
      </w:r>
      <w:r w:rsidR="00DE57D6">
        <w:rPr>
          <w:rFonts w:eastAsia="Times New Roman" w:cstheme="minorHAnsi"/>
        </w:rPr>
        <w:t xml:space="preserve"> common </w:t>
      </w:r>
      <w:r w:rsidR="00CD10F1">
        <w:rPr>
          <w:rFonts w:eastAsia="Times New Roman" w:cstheme="minorHAnsi"/>
        </w:rPr>
        <w:t>usage</w:t>
      </w:r>
      <w:r w:rsidR="00DE57D6">
        <w:rPr>
          <w:rFonts w:eastAsia="Times New Roman" w:cstheme="minorHAnsi"/>
        </w:rPr>
        <w:t xml:space="preserve"> and it is not, to me, the more interesting usage of the term. I </w:t>
      </w:r>
      <w:r w:rsidR="00B2472E">
        <w:rPr>
          <w:rFonts w:eastAsia="Times New Roman" w:cstheme="minorHAnsi"/>
        </w:rPr>
        <w:t xml:space="preserve">will be primarily </w:t>
      </w:r>
      <w:r w:rsidR="00F67B71" w:rsidRPr="007E5564">
        <w:rPr>
          <w:rFonts w:eastAsia="Times New Roman" w:cstheme="minorHAnsi"/>
        </w:rPr>
        <w:t xml:space="preserve">focused instead on faith that happens in the context of </w:t>
      </w:r>
      <w:r w:rsidR="00673F65">
        <w:rPr>
          <w:rFonts w:eastAsia="Times New Roman" w:cstheme="minorHAnsi"/>
        </w:rPr>
        <w:t xml:space="preserve">interpersonal </w:t>
      </w:r>
      <w:r w:rsidR="00F67B71" w:rsidRPr="007E5564">
        <w:rPr>
          <w:rFonts w:eastAsia="Times New Roman" w:cstheme="minorHAnsi"/>
        </w:rPr>
        <w:t>relationship</w:t>
      </w:r>
      <w:r w:rsidR="00A409DD" w:rsidRPr="007E5564">
        <w:rPr>
          <w:rFonts w:eastAsia="Times New Roman" w:cstheme="minorHAnsi"/>
        </w:rPr>
        <w:t>s</w:t>
      </w:r>
      <w:r w:rsidR="0096454B" w:rsidRPr="007E5564">
        <w:rPr>
          <w:rFonts w:eastAsia="Times New Roman" w:cstheme="minorHAnsi"/>
        </w:rPr>
        <w:t xml:space="preserve">. </w:t>
      </w:r>
    </w:p>
    <w:p w14:paraId="3D2B3674" w14:textId="7F6FDFE3"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t>Faith</w:t>
      </w:r>
      <w:r w:rsidR="000314B5">
        <w:rPr>
          <w:rFonts w:cstheme="minorHAnsi"/>
        </w:rPr>
        <w:t>,</w:t>
      </w:r>
      <w:r w:rsidR="00997F5B">
        <w:rPr>
          <w:rFonts w:cstheme="minorHAnsi"/>
        </w:rPr>
        <w:t xml:space="preserve"> in a wide range of cases and</w:t>
      </w:r>
      <w:r w:rsidR="000314B5">
        <w:rPr>
          <w:rFonts w:cstheme="minorHAnsi"/>
        </w:rPr>
        <w:t xml:space="preserve"> </w:t>
      </w:r>
      <w:r w:rsidR="00925D7B">
        <w:rPr>
          <w:rFonts w:cstheme="minorHAnsi"/>
        </w:rPr>
        <w:t xml:space="preserve">especially </w:t>
      </w:r>
      <w:r w:rsidR="000314B5">
        <w:rPr>
          <w:rFonts w:cstheme="minorHAnsi"/>
        </w:rPr>
        <w:t>in the context</w:t>
      </w:r>
      <w:r w:rsidR="00CD10F1">
        <w:rPr>
          <w:rFonts w:cstheme="minorHAnsi"/>
        </w:rPr>
        <w:t xml:space="preserve"> of relationships,</w:t>
      </w:r>
      <w:r w:rsidRPr="007E5564">
        <w:rPr>
          <w:rFonts w:cstheme="minorHAnsi"/>
        </w:rPr>
        <w:t xml:space="preserve"> does not seem </w:t>
      </w:r>
      <w:r w:rsidR="00925D7B">
        <w:rPr>
          <w:rFonts w:cstheme="minorHAnsi"/>
        </w:rPr>
        <w:t xml:space="preserve">cleanly </w:t>
      </w:r>
      <w:r w:rsidRPr="007E5564">
        <w:rPr>
          <w:rFonts w:cstheme="minorHAnsi"/>
        </w:rPr>
        <w:t xml:space="preserve">reducible to </w:t>
      </w:r>
      <w:r w:rsidR="00CD10F1">
        <w:rPr>
          <w:rFonts w:cstheme="minorHAnsi"/>
        </w:rPr>
        <w:t xml:space="preserve">mere </w:t>
      </w:r>
      <w:r w:rsidRPr="007E5564">
        <w:rPr>
          <w:rFonts w:cstheme="minorHAnsi"/>
        </w:rPr>
        <w:t xml:space="preserve">belief. </w:t>
      </w:r>
      <w:r w:rsidR="00960D79">
        <w:rPr>
          <w:rFonts w:cstheme="minorHAnsi"/>
        </w:rPr>
        <w:t>An initial</w:t>
      </w:r>
      <w:r w:rsidRPr="007E5564">
        <w:rPr>
          <w:rFonts w:cstheme="minorHAnsi"/>
        </w:rPr>
        <w:t xml:space="preserve"> reason</w:t>
      </w:r>
      <w:r w:rsidR="00960D79">
        <w:rPr>
          <w:rFonts w:cstheme="minorHAnsi"/>
        </w:rPr>
        <w:t xml:space="preserve"> for thinking </w:t>
      </w:r>
      <w:r w:rsidR="00997F5B">
        <w:rPr>
          <w:rFonts w:cstheme="minorHAnsi"/>
        </w:rPr>
        <w:t>so</w:t>
      </w:r>
      <w:r w:rsidRPr="007E5564">
        <w:rPr>
          <w:rFonts w:cstheme="minorHAnsi"/>
        </w:rPr>
        <w:t xml:space="preserve"> is beliefs</w:t>
      </w:r>
      <w:r w:rsidR="00997F5B">
        <w:rPr>
          <w:rFonts w:cstheme="minorHAnsi"/>
        </w:rPr>
        <w:t>, by themselves,</w:t>
      </w:r>
      <w:r w:rsidRPr="007E5564">
        <w:rPr>
          <w:rFonts w:cstheme="minorHAnsi"/>
        </w:rPr>
        <w:t xml:space="preserve"> </w:t>
      </w:r>
      <w:r w:rsidR="00A409DD" w:rsidRPr="007E5564">
        <w:rPr>
          <w:rFonts w:cstheme="minorHAnsi"/>
        </w:rPr>
        <w:t>are</w:t>
      </w:r>
      <w:r w:rsidRPr="007E5564">
        <w:rPr>
          <w:rFonts w:cstheme="minorHAnsi"/>
        </w:rPr>
        <w:t xml:space="preserve"> far too thin and too easy to come by for an account of faith. </w:t>
      </w:r>
      <w:r w:rsidR="00A409DD" w:rsidRPr="007E5564">
        <w:rPr>
          <w:rFonts w:cstheme="minorHAnsi"/>
        </w:rPr>
        <w:t>Whatever faith is</w:t>
      </w:r>
      <w:r w:rsidR="00B013F2">
        <w:rPr>
          <w:rFonts w:cstheme="minorHAnsi"/>
        </w:rPr>
        <w:t>, as it functions in our relationships, it is</w:t>
      </w:r>
      <w:r w:rsidR="00A409DD" w:rsidRPr="007E5564">
        <w:rPr>
          <w:rFonts w:cstheme="minorHAnsi"/>
        </w:rPr>
        <w:t xml:space="preserve"> a thick and very rich notion deeply intertwined with the human experience. </w:t>
      </w:r>
      <w:r w:rsidR="00504C9C">
        <w:rPr>
          <w:rFonts w:cstheme="minorHAnsi"/>
        </w:rPr>
        <w:t>To see this one only needs to consider the faith a child has in her parent or the faith between spouses in a healthy marriage. T</w:t>
      </w:r>
      <w:r w:rsidR="00960D79">
        <w:rPr>
          <w:rFonts w:cstheme="minorHAnsi"/>
        </w:rPr>
        <w:t xml:space="preserve">here would no doubt be </w:t>
      </w:r>
      <w:r w:rsidR="000314B5">
        <w:rPr>
          <w:rFonts w:cstheme="minorHAnsi"/>
        </w:rPr>
        <w:t>a variety</w:t>
      </w:r>
      <w:r w:rsidR="00960D79">
        <w:rPr>
          <w:rFonts w:cstheme="minorHAnsi"/>
        </w:rPr>
        <w:t xml:space="preserve"> </w:t>
      </w:r>
      <w:r w:rsidR="000314B5">
        <w:rPr>
          <w:rFonts w:cstheme="minorHAnsi"/>
        </w:rPr>
        <w:t xml:space="preserve">of </w:t>
      </w:r>
      <w:r w:rsidR="00960D79">
        <w:rPr>
          <w:rFonts w:cstheme="minorHAnsi"/>
        </w:rPr>
        <w:t xml:space="preserve">beliefs in </w:t>
      </w:r>
      <w:r w:rsidR="000314B5">
        <w:rPr>
          <w:rFonts w:cstheme="minorHAnsi"/>
        </w:rPr>
        <w:t xml:space="preserve">play relevant to </w:t>
      </w:r>
      <w:r w:rsidR="00997F5B">
        <w:rPr>
          <w:rFonts w:cstheme="minorHAnsi"/>
        </w:rPr>
        <w:t xml:space="preserve">the </w:t>
      </w:r>
      <w:r w:rsidR="000314B5">
        <w:rPr>
          <w:rFonts w:cstheme="minorHAnsi"/>
        </w:rPr>
        <w:t>faith</w:t>
      </w:r>
      <w:r w:rsidR="00504C9C">
        <w:rPr>
          <w:rFonts w:cstheme="minorHAnsi"/>
        </w:rPr>
        <w:t xml:space="preserve"> in these relationships</w:t>
      </w:r>
      <w:r w:rsidR="00960D79">
        <w:rPr>
          <w:rFonts w:cstheme="minorHAnsi"/>
        </w:rPr>
        <w:t>, but</w:t>
      </w:r>
      <w:r w:rsidR="000314B5">
        <w:rPr>
          <w:rFonts w:cstheme="minorHAnsi"/>
        </w:rPr>
        <w:t xml:space="preserve"> faith,</w:t>
      </w:r>
      <w:r w:rsidR="00960D79">
        <w:rPr>
          <w:rFonts w:cstheme="minorHAnsi"/>
        </w:rPr>
        <w:t xml:space="preserve"> </w:t>
      </w:r>
      <w:r w:rsidR="000314B5">
        <w:rPr>
          <w:rFonts w:cstheme="minorHAnsi"/>
        </w:rPr>
        <w:t xml:space="preserve">in itself, </w:t>
      </w:r>
      <w:r w:rsidR="00960D79">
        <w:rPr>
          <w:rFonts w:cstheme="minorHAnsi"/>
        </w:rPr>
        <w:t xml:space="preserve">does not seem reducible to a set of mere intellectual commitments. </w:t>
      </w:r>
      <w:r w:rsidR="00A409DD" w:rsidRPr="007E5564">
        <w:rPr>
          <w:rFonts w:cstheme="minorHAnsi"/>
        </w:rPr>
        <w:t xml:space="preserve">This </w:t>
      </w:r>
      <w:r w:rsidR="000314B5">
        <w:rPr>
          <w:rFonts w:cstheme="minorHAnsi"/>
        </w:rPr>
        <w:t xml:space="preserve">seems clear </w:t>
      </w:r>
      <w:r w:rsidR="00997F5B">
        <w:rPr>
          <w:rFonts w:cstheme="minorHAnsi"/>
        </w:rPr>
        <w:t>in the Christian sense</w:t>
      </w:r>
      <w:r w:rsidR="000314B5">
        <w:rPr>
          <w:rFonts w:cstheme="minorHAnsi"/>
        </w:rPr>
        <w:t xml:space="preserve">, as well. </w:t>
      </w:r>
      <w:r w:rsidR="00504C9C">
        <w:rPr>
          <w:rFonts w:cstheme="minorHAnsi"/>
        </w:rPr>
        <w:t xml:space="preserve">When one comes to faith, it is not </w:t>
      </w:r>
      <w:r w:rsidR="000314B5">
        <w:rPr>
          <w:rFonts w:cstheme="minorHAnsi"/>
        </w:rPr>
        <w:t>a set of</w:t>
      </w:r>
      <w:r w:rsidRPr="007E5564">
        <w:rPr>
          <w:rFonts w:cstheme="minorHAnsi"/>
        </w:rPr>
        <w:t xml:space="preserve"> mere intellectual commitment</w:t>
      </w:r>
      <w:r w:rsidR="000314B5">
        <w:rPr>
          <w:rFonts w:cstheme="minorHAnsi"/>
        </w:rPr>
        <w:t>s</w:t>
      </w:r>
      <w:r w:rsidR="00504C9C">
        <w:rPr>
          <w:rFonts w:cstheme="minorHAnsi"/>
        </w:rPr>
        <w:t>,</w:t>
      </w:r>
      <w:r w:rsidRPr="007E5564">
        <w:rPr>
          <w:rFonts w:cstheme="minorHAnsi"/>
        </w:rPr>
        <w:t xml:space="preserve"> </w:t>
      </w:r>
      <w:r w:rsidR="00504C9C">
        <w:rPr>
          <w:rFonts w:cstheme="minorHAnsi"/>
        </w:rPr>
        <w:t>such as</w:t>
      </w:r>
      <w:r w:rsidRPr="007E5564">
        <w:rPr>
          <w:rFonts w:cstheme="minorHAnsi"/>
        </w:rPr>
        <w:t xml:space="preserve"> the belief in God. Indeed, even the demons (and many </w:t>
      </w:r>
      <w:r w:rsidR="00CD10F1">
        <w:rPr>
          <w:rFonts w:cstheme="minorHAnsi"/>
        </w:rPr>
        <w:t>Baptists</w:t>
      </w:r>
      <w:r w:rsidRPr="007E5564">
        <w:rPr>
          <w:rFonts w:cstheme="minorHAnsi"/>
        </w:rPr>
        <w:t xml:space="preserve">) </w:t>
      </w:r>
      <w:r w:rsidR="00673F65">
        <w:rPr>
          <w:rFonts w:cstheme="minorHAnsi"/>
        </w:rPr>
        <w:t xml:space="preserve">believe </w:t>
      </w:r>
      <w:r w:rsidR="004A6147">
        <w:rPr>
          <w:rFonts w:cstheme="minorHAnsi"/>
        </w:rPr>
        <w:t>and yet the demons (and many Baptists)</w:t>
      </w:r>
      <w:r w:rsidRPr="007E5564">
        <w:rPr>
          <w:rFonts w:cstheme="minorHAnsi"/>
        </w:rPr>
        <w:t xml:space="preserve"> lack</w:t>
      </w:r>
      <w:r w:rsidR="000314B5">
        <w:rPr>
          <w:rFonts w:cstheme="minorHAnsi"/>
        </w:rPr>
        <w:t xml:space="preserve"> genuine</w:t>
      </w:r>
      <w:r w:rsidRPr="007E5564">
        <w:rPr>
          <w:rFonts w:cstheme="minorHAnsi"/>
        </w:rPr>
        <w:t xml:space="preserve"> faith! </w:t>
      </w:r>
    </w:p>
    <w:p w14:paraId="3DD4D45C" w14:textId="1B8691DF" w:rsidR="0096454B" w:rsidRDefault="00673F65" w:rsidP="00143EDD">
      <w:pPr>
        <w:autoSpaceDE w:val="0"/>
        <w:autoSpaceDN w:val="0"/>
        <w:adjustRightInd w:val="0"/>
        <w:spacing w:line="480" w:lineRule="auto"/>
        <w:ind w:right="-720" w:firstLine="720"/>
        <w:rPr>
          <w:rFonts w:eastAsia="Times New Roman" w:cstheme="minorHAnsi"/>
        </w:rPr>
      </w:pPr>
      <w:r>
        <w:rPr>
          <w:rFonts w:cstheme="minorHAnsi"/>
        </w:rPr>
        <w:t>A second</w:t>
      </w:r>
      <w:r w:rsidR="0096454B" w:rsidRPr="007E5564">
        <w:rPr>
          <w:rFonts w:cstheme="minorHAnsi"/>
        </w:rPr>
        <w:t xml:space="preserve"> problem with thinking that faith is </w:t>
      </w:r>
      <w:r w:rsidR="00997F5B">
        <w:rPr>
          <w:rFonts w:cstheme="minorHAnsi"/>
        </w:rPr>
        <w:t xml:space="preserve">merely </w:t>
      </w:r>
      <w:r w:rsidR="0096454B" w:rsidRPr="007E5564">
        <w:rPr>
          <w:rFonts w:cstheme="minorHAnsi"/>
        </w:rPr>
        <w:t>a belief is specifying the special feature that makes the belief an instance of faith rather than some other kind of belief. It is very common for people to think faith always involves some sort of risk taking.</w:t>
      </w:r>
      <w:r w:rsidR="00504C9C">
        <w:rPr>
          <w:rStyle w:val="FootnoteReference"/>
          <w:rFonts w:cstheme="minorHAnsi"/>
        </w:rPr>
        <w:footnoteReference w:id="5"/>
      </w:r>
      <w:r w:rsidR="0096454B" w:rsidRPr="007E5564">
        <w:rPr>
          <w:rFonts w:cstheme="minorHAnsi"/>
        </w:rPr>
        <w:t xml:space="preserve"> If that</w:t>
      </w:r>
      <w:r w:rsidR="0096454B" w:rsidRPr="007E5564">
        <w:rPr>
          <w:rFonts w:eastAsia="Times New Roman" w:cstheme="minorHAnsi"/>
        </w:rPr>
        <w:t xml:space="preserve">’s right, it will be tempting, along with the new atheist among us, to say that the special feature that makes a belief an instance of faith is that the </w:t>
      </w:r>
      <w:r w:rsidR="0096454B" w:rsidRPr="007E5564">
        <w:rPr>
          <w:rFonts w:eastAsia="Times New Roman" w:cstheme="minorHAnsi"/>
        </w:rPr>
        <w:lastRenderedPageBreak/>
        <w:t xml:space="preserve">belief lacks sufficient evidence. But </w:t>
      </w:r>
      <w:r w:rsidR="000314B5">
        <w:rPr>
          <w:rFonts w:eastAsia="Times New Roman" w:cstheme="minorHAnsi"/>
        </w:rPr>
        <w:t xml:space="preserve">if this is all that faith is, then </w:t>
      </w:r>
      <w:r w:rsidR="0096454B" w:rsidRPr="007E5564">
        <w:rPr>
          <w:rFonts w:eastAsia="Times New Roman" w:cstheme="minorHAnsi"/>
        </w:rPr>
        <w:t xml:space="preserve">this makes faith a deficiency </w:t>
      </w:r>
      <w:r w:rsidR="00B2472E">
        <w:rPr>
          <w:rFonts w:eastAsia="Times New Roman" w:cstheme="minorHAnsi"/>
        </w:rPr>
        <w:t>in all cases</w:t>
      </w:r>
      <w:r w:rsidR="0096454B" w:rsidRPr="007E5564">
        <w:rPr>
          <w:rFonts w:eastAsia="Times New Roman" w:cstheme="minorHAnsi"/>
        </w:rPr>
        <w:t xml:space="preserve">. </w:t>
      </w:r>
      <w:r w:rsidR="00F17B0B">
        <w:rPr>
          <w:rFonts w:eastAsia="Times New Roman" w:cstheme="minorHAnsi"/>
        </w:rPr>
        <w:t xml:space="preserve">But if faith is mere belief, then lacking sufficient evidence will, for many, constitute a necessarily deficient state. </w:t>
      </w:r>
      <w:r w:rsidR="001552F7">
        <w:rPr>
          <w:rFonts w:eastAsia="Times New Roman" w:cstheme="minorHAnsi"/>
        </w:rPr>
        <w:t>Lara Buchak</w:t>
      </w:r>
      <w:r w:rsidR="00B2472E">
        <w:rPr>
          <w:rFonts w:eastAsia="Times New Roman" w:cstheme="minorHAnsi"/>
        </w:rPr>
        <w:t xml:space="preserve"> makes the point that a plausible account of faith should specify both good and bad cases</w:t>
      </w:r>
      <w:r w:rsidR="00960D79">
        <w:rPr>
          <w:rFonts w:eastAsia="Times New Roman" w:cstheme="minorHAnsi"/>
        </w:rPr>
        <w:t xml:space="preserve"> of faith</w:t>
      </w:r>
      <w:r w:rsidR="00F17B0B">
        <w:rPr>
          <w:rFonts w:eastAsia="Times New Roman" w:cstheme="minorHAnsi"/>
        </w:rPr>
        <w:t>.</w:t>
      </w:r>
      <w:r w:rsidR="001552F7">
        <w:rPr>
          <w:rStyle w:val="FootnoteReference"/>
          <w:rFonts w:eastAsia="Times New Roman" w:cstheme="minorHAnsi"/>
        </w:rPr>
        <w:footnoteReference w:id="6"/>
      </w:r>
      <w:r w:rsidR="00F17B0B">
        <w:rPr>
          <w:rFonts w:eastAsia="Times New Roman" w:cstheme="minorHAnsi"/>
        </w:rPr>
        <w:t xml:space="preserve"> </w:t>
      </w:r>
      <w:r w:rsidR="00997F5B">
        <w:rPr>
          <w:rFonts w:eastAsia="Times New Roman" w:cstheme="minorHAnsi"/>
        </w:rPr>
        <w:t>The thought is h</w:t>
      </w:r>
      <w:r w:rsidR="00444B0D">
        <w:rPr>
          <w:rFonts w:eastAsia="Times New Roman" w:cstheme="minorHAnsi"/>
        </w:rPr>
        <w:t xml:space="preserve">aving faith is </w:t>
      </w:r>
      <w:r w:rsidR="00960D79">
        <w:rPr>
          <w:rFonts w:eastAsia="Times New Roman" w:cstheme="minorHAnsi"/>
        </w:rPr>
        <w:t xml:space="preserve">surely </w:t>
      </w:r>
      <w:r w:rsidR="00444B0D">
        <w:rPr>
          <w:rFonts w:eastAsia="Times New Roman" w:cstheme="minorHAnsi"/>
        </w:rPr>
        <w:t xml:space="preserve">sometimes virtuous. Even if one thinks that Christian faith is a bad idea, there are relationships, such as </w:t>
      </w:r>
      <w:r w:rsidR="00C15974">
        <w:rPr>
          <w:rFonts w:eastAsia="Times New Roman" w:cstheme="minorHAnsi"/>
        </w:rPr>
        <w:t xml:space="preserve">in the context of </w:t>
      </w:r>
      <w:r w:rsidR="00444B0D">
        <w:rPr>
          <w:rFonts w:eastAsia="Times New Roman" w:cstheme="minorHAnsi"/>
        </w:rPr>
        <w:t xml:space="preserve">a healthy marriage, where having faith </w:t>
      </w:r>
      <w:r w:rsidR="00997F5B">
        <w:rPr>
          <w:rFonts w:eastAsia="Times New Roman" w:cstheme="minorHAnsi"/>
        </w:rPr>
        <w:t xml:space="preserve">in the other </w:t>
      </w:r>
      <w:r w:rsidR="00444B0D">
        <w:rPr>
          <w:rFonts w:eastAsia="Times New Roman" w:cstheme="minorHAnsi"/>
        </w:rPr>
        <w:t>is appropriate and even crucial for the relationship.</w:t>
      </w:r>
    </w:p>
    <w:p w14:paraId="6BAAC692" w14:textId="39867AF1" w:rsidR="00930C6C" w:rsidRPr="00960D79" w:rsidRDefault="008B5C11" w:rsidP="00930C6C">
      <w:pPr>
        <w:autoSpaceDE w:val="0"/>
        <w:autoSpaceDN w:val="0"/>
        <w:adjustRightInd w:val="0"/>
        <w:spacing w:line="480" w:lineRule="auto"/>
        <w:ind w:right="-720"/>
        <w:rPr>
          <w:rFonts w:eastAsia="Times New Roman" w:cstheme="minorHAnsi"/>
          <w:b/>
        </w:rPr>
      </w:pPr>
      <w:r>
        <w:rPr>
          <w:rFonts w:eastAsia="Times New Roman" w:cstheme="minorHAnsi"/>
          <w:b/>
        </w:rPr>
        <w:t>F</w:t>
      </w:r>
      <w:r w:rsidR="00930C6C" w:rsidRPr="00960D79">
        <w:rPr>
          <w:rFonts w:eastAsia="Times New Roman" w:cstheme="minorHAnsi"/>
          <w:b/>
        </w:rPr>
        <w:t xml:space="preserve">aith </w:t>
      </w:r>
      <w:r>
        <w:rPr>
          <w:rFonts w:eastAsia="Times New Roman" w:cstheme="minorHAnsi"/>
          <w:b/>
        </w:rPr>
        <w:t xml:space="preserve">as a </w:t>
      </w:r>
      <w:r w:rsidR="00930C6C" w:rsidRPr="00960D79">
        <w:rPr>
          <w:rFonts w:eastAsia="Times New Roman" w:cstheme="minorHAnsi"/>
          <w:b/>
        </w:rPr>
        <w:t>propositional</w:t>
      </w:r>
      <w:r>
        <w:rPr>
          <w:rFonts w:eastAsia="Times New Roman" w:cstheme="minorHAnsi"/>
          <w:b/>
        </w:rPr>
        <w:t xml:space="preserve"> attitude</w:t>
      </w:r>
      <w:r w:rsidR="00930C6C" w:rsidRPr="00960D79">
        <w:rPr>
          <w:rFonts w:eastAsia="Times New Roman" w:cstheme="minorHAnsi"/>
          <w:b/>
        </w:rPr>
        <w:t>?</w:t>
      </w:r>
    </w:p>
    <w:p w14:paraId="4C27164B" w14:textId="06AFD90C" w:rsidR="0096454B" w:rsidRPr="007E5564" w:rsidRDefault="00CE652D" w:rsidP="000314B5">
      <w:pPr>
        <w:autoSpaceDE w:val="0"/>
        <w:autoSpaceDN w:val="0"/>
        <w:adjustRightInd w:val="0"/>
        <w:spacing w:line="480" w:lineRule="auto"/>
        <w:ind w:right="-720" w:firstLine="720"/>
        <w:rPr>
          <w:rFonts w:cstheme="minorHAnsi"/>
        </w:rPr>
      </w:pPr>
      <w:r>
        <w:rPr>
          <w:rFonts w:eastAsia="Times New Roman" w:cstheme="minorHAnsi"/>
        </w:rPr>
        <w:t xml:space="preserve">Perhaps faith is </w:t>
      </w:r>
      <w:r w:rsidR="001552F7">
        <w:rPr>
          <w:rFonts w:eastAsia="Times New Roman" w:cstheme="minorHAnsi"/>
        </w:rPr>
        <w:t xml:space="preserve">not </w:t>
      </w:r>
      <w:r w:rsidR="00997F5B">
        <w:rPr>
          <w:rFonts w:eastAsia="Times New Roman" w:cstheme="minorHAnsi"/>
        </w:rPr>
        <w:t xml:space="preserve">a </w:t>
      </w:r>
      <w:r w:rsidR="001552F7">
        <w:rPr>
          <w:rFonts w:eastAsia="Times New Roman" w:cstheme="minorHAnsi"/>
        </w:rPr>
        <w:t xml:space="preserve">doxastic </w:t>
      </w:r>
      <w:r w:rsidR="00997F5B">
        <w:rPr>
          <w:rFonts w:eastAsia="Times New Roman" w:cstheme="minorHAnsi"/>
        </w:rPr>
        <w:t xml:space="preserve">state </w:t>
      </w:r>
      <w:r w:rsidR="001552F7">
        <w:rPr>
          <w:rFonts w:eastAsia="Times New Roman" w:cstheme="minorHAnsi"/>
        </w:rPr>
        <w:t xml:space="preserve">but is </w:t>
      </w:r>
      <w:r>
        <w:rPr>
          <w:rFonts w:eastAsia="Times New Roman" w:cstheme="minorHAnsi"/>
        </w:rPr>
        <w:t>another kind of propositional attitude.</w:t>
      </w:r>
      <w:r w:rsidR="001552F7">
        <w:rPr>
          <w:rStyle w:val="FootnoteReference"/>
          <w:rFonts w:eastAsia="Times New Roman" w:cstheme="minorHAnsi"/>
        </w:rPr>
        <w:footnoteReference w:id="7"/>
      </w:r>
      <w:r w:rsidR="00930C6C">
        <w:rPr>
          <w:rFonts w:cstheme="minorHAnsi"/>
        </w:rPr>
        <w:t xml:space="preserve"> </w:t>
      </w:r>
      <w:r w:rsidR="00930C6C" w:rsidRPr="007E5564">
        <w:rPr>
          <w:rFonts w:cstheme="minorHAnsi"/>
        </w:rPr>
        <w:t>Again, we</w:t>
      </w:r>
      <w:r w:rsidR="00930C6C">
        <w:rPr>
          <w:rFonts w:cstheme="minorHAnsi"/>
        </w:rPr>
        <w:t xml:space="preserve"> do</w:t>
      </w:r>
      <w:r w:rsidR="00930C6C" w:rsidRPr="007E5564">
        <w:rPr>
          <w:rFonts w:cstheme="minorHAnsi"/>
        </w:rPr>
        <w:t xml:space="preserve"> say things like </w:t>
      </w:r>
      <w:r w:rsidR="00930C6C" w:rsidRPr="007E5564">
        <w:rPr>
          <w:rFonts w:eastAsia="Times New Roman" w:cstheme="minorHAnsi"/>
        </w:rPr>
        <w:t xml:space="preserve">‘S has faith that X’ and this seems to make a proposition the object of our faith. But what does </w:t>
      </w:r>
      <w:r w:rsidR="00930C6C">
        <w:rPr>
          <w:rFonts w:eastAsia="Times New Roman" w:cstheme="minorHAnsi"/>
        </w:rPr>
        <w:t>this amount to?</w:t>
      </w:r>
      <w:r w:rsidR="00930C6C" w:rsidRPr="007E5564">
        <w:rPr>
          <w:rFonts w:eastAsia="Times New Roman" w:cstheme="minorHAnsi"/>
        </w:rPr>
        <w:t xml:space="preserve"> </w:t>
      </w:r>
      <w:r w:rsidR="0096454B" w:rsidRPr="007E5564">
        <w:rPr>
          <w:rFonts w:eastAsia="Times New Roman" w:cstheme="minorHAnsi"/>
        </w:rPr>
        <w:t xml:space="preserve">Lara Buchak </w:t>
      </w:r>
      <w:r w:rsidR="00997F5B">
        <w:rPr>
          <w:rFonts w:eastAsia="Times New Roman" w:cstheme="minorHAnsi"/>
        </w:rPr>
        <w:t>defends the idea</w:t>
      </w:r>
      <w:r w:rsidR="007E5564" w:rsidRPr="007E5564">
        <w:rPr>
          <w:rFonts w:eastAsia="Times New Roman" w:cstheme="minorHAnsi"/>
        </w:rPr>
        <w:t xml:space="preserve"> that faith is fundamentally propositional</w:t>
      </w:r>
      <w:r w:rsidR="0096454B" w:rsidRPr="007E5564">
        <w:rPr>
          <w:rFonts w:eastAsia="Times New Roman" w:cstheme="minorHAnsi"/>
        </w:rPr>
        <w:t>.</w:t>
      </w:r>
      <w:r w:rsidR="001C333B">
        <w:rPr>
          <w:rStyle w:val="FootnoteReference"/>
          <w:rFonts w:eastAsia="Times New Roman" w:cstheme="minorHAnsi"/>
        </w:rPr>
        <w:footnoteReference w:id="8"/>
      </w:r>
      <w:r w:rsidR="0096454B" w:rsidRPr="007E5564">
        <w:rPr>
          <w:rFonts w:eastAsia="Times New Roman" w:cstheme="minorHAnsi"/>
        </w:rPr>
        <w:t xml:space="preserve"> She summarizes her view </w:t>
      </w:r>
      <w:r w:rsidR="007E5564" w:rsidRPr="007E5564">
        <w:rPr>
          <w:rFonts w:eastAsia="Times New Roman" w:cstheme="minorHAnsi"/>
        </w:rPr>
        <w:t xml:space="preserve">of faith </w:t>
      </w:r>
      <w:r w:rsidR="0096454B" w:rsidRPr="007E5564">
        <w:rPr>
          <w:rFonts w:eastAsia="Times New Roman" w:cstheme="minorHAnsi"/>
        </w:rPr>
        <w:t>as:</w:t>
      </w:r>
    </w:p>
    <w:p w14:paraId="128F28F2" w14:textId="4A82189E" w:rsidR="0096454B" w:rsidRDefault="0096454B" w:rsidP="00626EAD">
      <w:pPr>
        <w:autoSpaceDE w:val="0"/>
        <w:autoSpaceDN w:val="0"/>
        <w:adjustRightInd w:val="0"/>
        <w:spacing w:after="0" w:line="276" w:lineRule="auto"/>
        <w:ind w:left="720" w:right="-720"/>
        <w:rPr>
          <w:rFonts w:eastAsia="Times New Roman" w:cstheme="minorHAnsi"/>
        </w:rPr>
      </w:pPr>
      <w:r w:rsidRPr="007E5564">
        <w:rPr>
          <w:rFonts w:eastAsia="Times New Roman" w:cstheme="minorHAnsi"/>
        </w:rPr>
        <w:t>…to have faith in some proposition consists, roughly speaking, in stopping one’s search for evidence and committing to act on that proposition without further evidence.</w:t>
      </w:r>
      <w:r w:rsidR="00AE345D">
        <w:rPr>
          <w:rStyle w:val="FootnoteReference"/>
          <w:rFonts w:eastAsia="Times New Roman" w:cstheme="minorHAnsi"/>
        </w:rPr>
        <w:footnoteReference w:id="9"/>
      </w:r>
      <w:r w:rsidRPr="007E5564">
        <w:rPr>
          <w:rFonts w:eastAsia="Times New Roman" w:cstheme="minorHAnsi"/>
        </w:rPr>
        <w:t xml:space="preserve"> </w:t>
      </w:r>
    </w:p>
    <w:p w14:paraId="35B6DAA3" w14:textId="77777777" w:rsidR="00626EAD" w:rsidRPr="007E5564" w:rsidRDefault="00626EAD" w:rsidP="00626EAD">
      <w:pPr>
        <w:autoSpaceDE w:val="0"/>
        <w:autoSpaceDN w:val="0"/>
        <w:adjustRightInd w:val="0"/>
        <w:spacing w:after="0" w:line="276" w:lineRule="auto"/>
        <w:ind w:left="720" w:right="-720"/>
        <w:rPr>
          <w:rFonts w:cstheme="minorHAnsi"/>
        </w:rPr>
      </w:pPr>
    </w:p>
    <w:p w14:paraId="19227C65" w14:textId="3DD66965" w:rsidR="0096454B" w:rsidRPr="007E5564" w:rsidRDefault="00997F5B" w:rsidP="00143EDD">
      <w:pPr>
        <w:autoSpaceDE w:val="0"/>
        <w:autoSpaceDN w:val="0"/>
        <w:adjustRightInd w:val="0"/>
        <w:spacing w:line="480" w:lineRule="auto"/>
        <w:ind w:right="-720"/>
        <w:rPr>
          <w:rFonts w:cstheme="minorHAnsi"/>
        </w:rPr>
      </w:pPr>
      <w:r>
        <w:rPr>
          <w:rFonts w:cstheme="minorHAnsi"/>
        </w:rPr>
        <w:t>For</w:t>
      </w:r>
      <w:r w:rsidR="00111654">
        <w:rPr>
          <w:rFonts w:cstheme="minorHAnsi"/>
        </w:rPr>
        <w:t xml:space="preserve"> </w:t>
      </w:r>
      <w:r w:rsidR="00E0426E">
        <w:rPr>
          <w:rFonts w:cstheme="minorHAnsi"/>
        </w:rPr>
        <w:t>Buchak</w:t>
      </w:r>
      <w:r>
        <w:rPr>
          <w:rFonts w:cstheme="minorHAnsi"/>
        </w:rPr>
        <w:t xml:space="preserve">, </w:t>
      </w:r>
      <w:r w:rsidR="00E0426E">
        <w:rPr>
          <w:rFonts w:cstheme="minorHAnsi"/>
        </w:rPr>
        <w:t>faith is not a mere belief</w:t>
      </w:r>
      <w:r>
        <w:rPr>
          <w:rFonts w:cstheme="minorHAnsi"/>
        </w:rPr>
        <w:t>, b</w:t>
      </w:r>
      <w:r w:rsidR="00E0426E">
        <w:rPr>
          <w:rFonts w:cstheme="minorHAnsi"/>
        </w:rPr>
        <w:t xml:space="preserve">ut it is propositional. </w:t>
      </w:r>
      <w:r w:rsidR="0096454B" w:rsidRPr="007E5564">
        <w:rPr>
          <w:rFonts w:cstheme="minorHAnsi"/>
        </w:rPr>
        <w:t>She construes faith as propositional since when it comes to statements and expressions of faith</w:t>
      </w:r>
      <w:r w:rsidR="003C46B0">
        <w:rPr>
          <w:rFonts w:cstheme="minorHAnsi"/>
        </w:rPr>
        <w:t>,</w:t>
      </w:r>
      <w:r w:rsidR="0096454B" w:rsidRPr="007E5564">
        <w:rPr>
          <w:rFonts w:cstheme="minorHAnsi"/>
        </w:rPr>
        <w:t xml:space="preserve"> there </w:t>
      </w:r>
      <w:r w:rsidR="003C46B0">
        <w:rPr>
          <w:rFonts w:cstheme="minorHAnsi"/>
        </w:rPr>
        <w:t>is</w:t>
      </w:r>
      <w:r w:rsidR="0096454B" w:rsidRPr="007E5564">
        <w:rPr>
          <w:rFonts w:cstheme="minorHAnsi"/>
        </w:rPr>
        <w:t xml:space="preserve"> typically some proposition </w:t>
      </w:r>
      <w:r w:rsidR="00A20A53">
        <w:rPr>
          <w:rFonts w:cstheme="minorHAnsi"/>
        </w:rPr>
        <w:t>involved in the instance of faith</w:t>
      </w:r>
      <w:r w:rsidR="0096454B" w:rsidRPr="007E5564">
        <w:rPr>
          <w:rFonts w:cstheme="minorHAnsi"/>
        </w:rPr>
        <w:t xml:space="preserve">. It is easy to </w:t>
      </w:r>
      <w:r>
        <w:rPr>
          <w:rFonts w:cstheme="minorHAnsi"/>
        </w:rPr>
        <w:t xml:space="preserve">see this in </w:t>
      </w:r>
      <w:r w:rsidR="0096454B" w:rsidRPr="007E5564">
        <w:rPr>
          <w:rFonts w:cstheme="minorHAnsi"/>
        </w:rPr>
        <w:t xml:space="preserve">statements </w:t>
      </w:r>
      <w:r w:rsidR="00603829">
        <w:rPr>
          <w:rFonts w:cstheme="minorHAnsi"/>
        </w:rPr>
        <w:t>in the form of</w:t>
      </w:r>
      <w:r w:rsidR="00626EAD">
        <w:rPr>
          <w:rFonts w:cstheme="minorHAnsi"/>
        </w:rPr>
        <w:t xml:space="preserve"> </w:t>
      </w:r>
      <w:r w:rsidR="00626EAD">
        <w:rPr>
          <w:rFonts w:eastAsia="Times New Roman" w:cstheme="minorHAnsi"/>
        </w:rPr>
        <w:t>‘</w:t>
      </w:r>
      <w:r w:rsidR="0096454B" w:rsidRPr="007E5564">
        <w:rPr>
          <w:rFonts w:eastAsia="Times New Roman" w:cstheme="minorHAnsi"/>
        </w:rPr>
        <w:t xml:space="preserve">S has faith that p’ but </w:t>
      </w:r>
      <w:r w:rsidR="00626EAD">
        <w:rPr>
          <w:rFonts w:eastAsia="Times New Roman" w:cstheme="minorHAnsi"/>
        </w:rPr>
        <w:t>not as easy</w:t>
      </w:r>
      <w:r w:rsidR="0096454B" w:rsidRPr="007E5564">
        <w:rPr>
          <w:rFonts w:eastAsia="Times New Roman" w:cstheme="minorHAnsi"/>
        </w:rPr>
        <w:t xml:space="preserve"> in statements of the form </w:t>
      </w:r>
      <w:r w:rsidR="00626EAD">
        <w:rPr>
          <w:rFonts w:eastAsia="Times New Roman" w:cstheme="minorHAnsi"/>
        </w:rPr>
        <w:t>‘</w:t>
      </w:r>
      <w:r w:rsidR="0096454B" w:rsidRPr="007E5564">
        <w:rPr>
          <w:rFonts w:eastAsia="Times New Roman" w:cstheme="minorHAnsi"/>
        </w:rPr>
        <w:t>S has fa</w:t>
      </w:r>
      <w:r w:rsidR="00626EAD">
        <w:rPr>
          <w:rFonts w:eastAsia="Times New Roman" w:cstheme="minorHAnsi"/>
        </w:rPr>
        <w:t>ith in A’ where A picks out a person.</w:t>
      </w:r>
      <w:r w:rsidR="0096454B" w:rsidRPr="007E5564">
        <w:rPr>
          <w:rFonts w:eastAsia="Times New Roman" w:cstheme="minorHAnsi"/>
        </w:rPr>
        <w:t xml:space="preserve"> Buchak says some of these are </w:t>
      </w:r>
      <w:r w:rsidR="0096454B" w:rsidRPr="007E5564">
        <w:rPr>
          <w:rFonts w:eastAsia="Times New Roman" w:cstheme="minorHAnsi"/>
        </w:rPr>
        <w:lastRenderedPageBreak/>
        <w:t>easily translated into ‘faith that’ statements, as in “</w:t>
      </w:r>
      <w:r w:rsidR="0096454B" w:rsidRPr="007E5564">
        <w:rPr>
          <w:rFonts w:cstheme="minorHAnsi"/>
        </w:rPr>
        <w:t xml:space="preserve">the statement </w:t>
      </w:r>
      <w:r w:rsidR="0096454B" w:rsidRPr="00E30A5D">
        <w:rPr>
          <w:rFonts w:cstheme="minorHAnsi"/>
          <w:i/>
        </w:rPr>
        <w:t>I have faith in your abilities</w:t>
      </w:r>
      <w:r w:rsidR="0096454B" w:rsidRPr="007E5564">
        <w:rPr>
          <w:rFonts w:cstheme="minorHAnsi"/>
        </w:rPr>
        <w:t xml:space="preserve"> is equivalent to </w:t>
      </w:r>
      <w:r w:rsidR="0096454B" w:rsidRPr="00E30A5D">
        <w:rPr>
          <w:rFonts w:cstheme="minorHAnsi"/>
          <w:i/>
        </w:rPr>
        <w:t>I have faith that you will be able to do such-and-such</w:t>
      </w:r>
      <w:r w:rsidR="0096454B" w:rsidRPr="007E5564">
        <w:rPr>
          <w:rFonts w:cstheme="minorHAnsi"/>
        </w:rPr>
        <w:t>.</w:t>
      </w:r>
      <w:r w:rsidR="0096454B" w:rsidRPr="007E5564">
        <w:rPr>
          <w:rFonts w:eastAsia="Times New Roman" w:cstheme="minorHAnsi"/>
        </w:rPr>
        <w:t xml:space="preserve">” She goes on: </w:t>
      </w:r>
    </w:p>
    <w:p w14:paraId="5B0AF62C" w14:textId="75F8B073" w:rsidR="0096454B" w:rsidRPr="007E5564" w:rsidRDefault="0096454B" w:rsidP="00143EDD">
      <w:pPr>
        <w:autoSpaceDE w:val="0"/>
        <w:autoSpaceDN w:val="0"/>
        <w:adjustRightInd w:val="0"/>
        <w:spacing w:after="0" w:line="276" w:lineRule="auto"/>
        <w:ind w:left="720"/>
        <w:rPr>
          <w:rFonts w:cstheme="minorHAnsi"/>
        </w:rPr>
      </w:pPr>
      <w:r w:rsidRPr="007E5564">
        <w:rPr>
          <w:rFonts w:cstheme="minorHAnsi"/>
        </w:rPr>
        <w:t>It is less obvious in the case of those statements claiming that an individual has faith in a person; however, upon further inspection, having faith in a person does typically require acquiescing to particular propositions about that person. For example, having faith in a person might involve acquiescing to the claim that the person will do the right thing or will succeed at a task, and having faith in God might involve acquiescing to (at least) the claims that God exists and that God is good. By the same token, performing an act of faith or acting on faith seems to involve acquiescing to a proposition, and which proposition one acquiesces to will be set by the context. For example, if setting down one</w:t>
      </w:r>
      <w:r w:rsidRPr="007E5564">
        <w:rPr>
          <w:rFonts w:eastAsia="Times New Roman" w:cstheme="minorHAnsi"/>
        </w:rPr>
        <w:t>’s own weapons is an act of faith, then this is because setting down one’s own weapons involves acquiescing to the claim that the other person will then set down his.</w:t>
      </w:r>
      <w:r w:rsidR="00E30A5D">
        <w:rPr>
          <w:rStyle w:val="FootnoteReference"/>
          <w:rFonts w:eastAsia="Times New Roman" w:cstheme="minorHAnsi"/>
        </w:rPr>
        <w:footnoteReference w:id="10"/>
      </w:r>
      <w:r w:rsidRPr="007E5564">
        <w:rPr>
          <w:rFonts w:eastAsia="Times New Roman" w:cstheme="minorHAnsi"/>
        </w:rPr>
        <w:t xml:space="preserve"> </w:t>
      </w:r>
    </w:p>
    <w:p w14:paraId="4E92DAC3" w14:textId="77777777" w:rsidR="0096454B" w:rsidRPr="007E5564" w:rsidRDefault="0096454B" w:rsidP="00143EDD">
      <w:pPr>
        <w:autoSpaceDE w:val="0"/>
        <w:autoSpaceDN w:val="0"/>
        <w:adjustRightInd w:val="0"/>
        <w:spacing w:after="0" w:line="480" w:lineRule="auto"/>
        <w:rPr>
          <w:rFonts w:cstheme="minorHAnsi"/>
        </w:rPr>
      </w:pPr>
    </w:p>
    <w:p w14:paraId="72DF5071" w14:textId="183F54B6" w:rsidR="0096454B" w:rsidRPr="007E5564" w:rsidRDefault="00626EAD" w:rsidP="00143EDD">
      <w:pPr>
        <w:autoSpaceDE w:val="0"/>
        <w:autoSpaceDN w:val="0"/>
        <w:adjustRightInd w:val="0"/>
        <w:spacing w:line="480" w:lineRule="auto"/>
        <w:ind w:right="-720" w:firstLine="720"/>
        <w:rPr>
          <w:rFonts w:cstheme="minorHAnsi"/>
        </w:rPr>
      </w:pPr>
      <w:r w:rsidRPr="007E5564">
        <w:rPr>
          <w:rFonts w:cstheme="minorHAnsi"/>
        </w:rPr>
        <w:t>I think Buchak is right, as far as it goes, there is typically a proposition to which one acquiesces involved</w:t>
      </w:r>
      <w:r w:rsidR="00D11D3F">
        <w:rPr>
          <w:rFonts w:cstheme="minorHAnsi"/>
        </w:rPr>
        <w:t xml:space="preserve"> in, or at least in the background of,</w:t>
      </w:r>
      <w:r w:rsidRPr="007E5564">
        <w:rPr>
          <w:rFonts w:cstheme="minorHAnsi"/>
        </w:rPr>
        <w:t xml:space="preserve"> expression</w:t>
      </w:r>
      <w:r>
        <w:rPr>
          <w:rFonts w:cstheme="minorHAnsi"/>
        </w:rPr>
        <w:t>s</w:t>
      </w:r>
      <w:r w:rsidRPr="007E5564">
        <w:rPr>
          <w:rFonts w:cstheme="minorHAnsi"/>
        </w:rPr>
        <w:t xml:space="preserve"> of faith.</w:t>
      </w:r>
      <w:r w:rsidR="003C46B0">
        <w:rPr>
          <w:rStyle w:val="FootnoteReference"/>
          <w:rFonts w:cstheme="minorHAnsi"/>
        </w:rPr>
        <w:footnoteReference w:id="11"/>
      </w:r>
      <w:r w:rsidRPr="007E5564">
        <w:rPr>
          <w:rFonts w:cstheme="minorHAnsi"/>
        </w:rPr>
        <w:t xml:space="preserve"> But I</w:t>
      </w:r>
      <w:r w:rsidRPr="007E5564">
        <w:rPr>
          <w:rFonts w:eastAsia="Times New Roman" w:cstheme="minorHAnsi"/>
        </w:rPr>
        <w:t xml:space="preserve">’m not sure this should lead us </w:t>
      </w:r>
      <w:r w:rsidR="00E0426E">
        <w:rPr>
          <w:rFonts w:eastAsia="Times New Roman" w:cstheme="minorHAnsi"/>
        </w:rPr>
        <w:t xml:space="preserve">to think that faith itself is </w:t>
      </w:r>
      <w:r w:rsidR="001F3075">
        <w:rPr>
          <w:rFonts w:eastAsia="Times New Roman" w:cstheme="minorHAnsi"/>
        </w:rPr>
        <w:t xml:space="preserve">fundamentally </w:t>
      </w:r>
      <w:r w:rsidRPr="007E5564">
        <w:rPr>
          <w:rFonts w:eastAsia="Times New Roman" w:cstheme="minorHAnsi"/>
        </w:rPr>
        <w:t xml:space="preserve">propositional. </w:t>
      </w:r>
      <w:r w:rsidR="009E4ABB">
        <w:rPr>
          <w:rFonts w:eastAsia="Times New Roman" w:cstheme="minorHAnsi"/>
        </w:rPr>
        <w:t>An attitude, such as a doxastic attitude, is clearly proposition</w:t>
      </w:r>
      <w:r w:rsidR="0094276A">
        <w:rPr>
          <w:rFonts w:eastAsia="Times New Roman" w:cstheme="minorHAnsi"/>
        </w:rPr>
        <w:t>al</w:t>
      </w:r>
      <w:r w:rsidR="009E4ABB">
        <w:rPr>
          <w:rFonts w:eastAsia="Times New Roman" w:cstheme="minorHAnsi"/>
        </w:rPr>
        <w:t xml:space="preserve"> since a proposition is the object of </w:t>
      </w:r>
      <w:r w:rsidR="001C333B">
        <w:rPr>
          <w:rFonts w:eastAsia="Times New Roman" w:cstheme="minorHAnsi"/>
        </w:rPr>
        <w:t xml:space="preserve">the </w:t>
      </w:r>
      <w:r w:rsidR="009E4ABB">
        <w:rPr>
          <w:rFonts w:eastAsia="Times New Roman" w:cstheme="minorHAnsi"/>
        </w:rPr>
        <w:t xml:space="preserve">attitude. One believes </w:t>
      </w:r>
      <w:r w:rsidR="009E4ABB" w:rsidRPr="001C333B">
        <w:rPr>
          <w:rFonts w:eastAsia="Times New Roman" w:cstheme="minorHAnsi"/>
          <w:i/>
        </w:rPr>
        <w:t xml:space="preserve">that </w:t>
      </w:r>
      <w:r w:rsidR="00B817CD" w:rsidRPr="001C333B">
        <w:rPr>
          <w:rFonts w:eastAsia="Times New Roman" w:cstheme="minorHAnsi"/>
          <w:i/>
        </w:rPr>
        <w:t>grass is green</w:t>
      </w:r>
      <w:r w:rsidR="00B817CD">
        <w:rPr>
          <w:rFonts w:eastAsia="Times New Roman" w:cstheme="minorHAnsi"/>
        </w:rPr>
        <w:t xml:space="preserve">. </w:t>
      </w:r>
      <w:r w:rsidR="00A20A53">
        <w:rPr>
          <w:rFonts w:eastAsia="Times New Roman" w:cstheme="minorHAnsi"/>
        </w:rPr>
        <w:t xml:space="preserve">But </w:t>
      </w:r>
      <w:r w:rsidR="00732E30">
        <w:rPr>
          <w:rFonts w:eastAsia="Times New Roman" w:cstheme="minorHAnsi"/>
        </w:rPr>
        <w:t>is a proposition really the object of our faith in typical instances of faith?</w:t>
      </w:r>
      <w:r w:rsidR="00A87BA3">
        <w:rPr>
          <w:rFonts w:eastAsia="Times New Roman" w:cstheme="minorHAnsi"/>
        </w:rPr>
        <w:t xml:space="preserve"> </w:t>
      </w:r>
      <w:r w:rsidR="00D423AD">
        <w:rPr>
          <w:rFonts w:eastAsia="Times New Roman" w:cstheme="minorHAnsi"/>
        </w:rPr>
        <w:t>T</w:t>
      </w:r>
      <w:r w:rsidR="00732E30">
        <w:rPr>
          <w:rFonts w:eastAsia="Times New Roman" w:cstheme="minorHAnsi"/>
        </w:rPr>
        <w:t xml:space="preserve">o think so </w:t>
      </w:r>
      <w:r w:rsidR="00B2472E">
        <w:rPr>
          <w:rFonts w:eastAsia="Times New Roman" w:cstheme="minorHAnsi"/>
        </w:rPr>
        <w:t xml:space="preserve">seems confused. </w:t>
      </w:r>
      <w:r w:rsidR="00732E30">
        <w:rPr>
          <w:rFonts w:eastAsia="Times New Roman" w:cstheme="minorHAnsi"/>
        </w:rPr>
        <w:t xml:space="preserve">‘Having faith in a proposition,’ as Buchak puts it, is a really awkward locution. </w:t>
      </w:r>
      <w:r w:rsidR="00111654">
        <w:rPr>
          <w:rFonts w:eastAsia="Times New Roman" w:cstheme="minorHAnsi"/>
        </w:rPr>
        <w:t>One does not</w:t>
      </w:r>
      <w:r w:rsidR="00732E30">
        <w:rPr>
          <w:rFonts w:eastAsia="Times New Roman" w:cstheme="minorHAnsi"/>
        </w:rPr>
        <w:t>, it seems,</w:t>
      </w:r>
      <w:r w:rsidR="0094276A">
        <w:rPr>
          <w:rFonts w:eastAsia="Times New Roman" w:cstheme="minorHAnsi"/>
        </w:rPr>
        <w:t xml:space="preserve"> </w:t>
      </w:r>
      <w:r w:rsidR="00A20A53">
        <w:rPr>
          <w:rFonts w:eastAsia="Times New Roman" w:cstheme="minorHAnsi"/>
        </w:rPr>
        <w:t>have faith in a proposition.</w:t>
      </w:r>
      <w:r w:rsidR="00732E30">
        <w:rPr>
          <w:rFonts w:eastAsia="Times New Roman" w:cstheme="minorHAnsi"/>
        </w:rPr>
        <w:t xml:space="preserve"> One has </w:t>
      </w:r>
      <w:r w:rsidR="00A87BA3">
        <w:rPr>
          <w:rFonts w:eastAsia="Times New Roman" w:cstheme="minorHAnsi"/>
        </w:rPr>
        <w:t>faith in persons or things</w:t>
      </w:r>
      <w:r w:rsidR="006F0EDC">
        <w:rPr>
          <w:rFonts w:eastAsia="Times New Roman" w:cstheme="minorHAnsi"/>
        </w:rPr>
        <w:t>.</w:t>
      </w:r>
      <w:r w:rsidR="00A87BA3">
        <w:rPr>
          <w:rFonts w:eastAsia="Times New Roman" w:cstheme="minorHAnsi"/>
        </w:rPr>
        <w:t xml:space="preserve"> </w:t>
      </w:r>
      <w:r w:rsidR="006F0EDC">
        <w:rPr>
          <w:rFonts w:eastAsia="Times New Roman" w:cstheme="minorHAnsi"/>
        </w:rPr>
        <w:t xml:space="preserve">This is especially </w:t>
      </w:r>
      <w:r w:rsidR="00992433">
        <w:rPr>
          <w:rFonts w:eastAsia="Times New Roman" w:cstheme="minorHAnsi"/>
        </w:rPr>
        <w:t>clear</w:t>
      </w:r>
      <w:r w:rsidR="006F0EDC">
        <w:rPr>
          <w:rFonts w:eastAsia="Times New Roman" w:cstheme="minorHAnsi"/>
        </w:rPr>
        <w:t xml:space="preserve"> if we are thinking about faith in the context of relationships. I have faith in </w:t>
      </w:r>
      <w:r w:rsidR="00992433">
        <w:rPr>
          <w:rFonts w:eastAsia="Times New Roman" w:cstheme="minorHAnsi"/>
        </w:rPr>
        <w:t>the other</w:t>
      </w:r>
      <w:r w:rsidR="006F0EDC">
        <w:rPr>
          <w:rFonts w:eastAsia="Times New Roman" w:cstheme="minorHAnsi"/>
        </w:rPr>
        <w:t xml:space="preserve"> person </w:t>
      </w:r>
      <w:r w:rsidR="00992433">
        <w:rPr>
          <w:rFonts w:eastAsia="Times New Roman" w:cstheme="minorHAnsi"/>
        </w:rPr>
        <w:t xml:space="preserve">(not some propositions) </w:t>
      </w:r>
      <w:r w:rsidR="00A87BA3">
        <w:rPr>
          <w:rFonts w:eastAsia="Times New Roman" w:cstheme="minorHAnsi"/>
        </w:rPr>
        <w:t xml:space="preserve">even </w:t>
      </w:r>
      <w:r w:rsidR="00992433">
        <w:rPr>
          <w:rFonts w:eastAsia="Times New Roman" w:cstheme="minorHAnsi"/>
        </w:rPr>
        <w:t>if</w:t>
      </w:r>
      <w:r w:rsidR="00A87BA3">
        <w:rPr>
          <w:rFonts w:eastAsia="Times New Roman" w:cstheme="minorHAnsi"/>
        </w:rPr>
        <w:t xml:space="preserve"> there are</w:t>
      </w:r>
      <w:r>
        <w:rPr>
          <w:rFonts w:eastAsia="Times New Roman" w:cstheme="minorHAnsi"/>
        </w:rPr>
        <w:t xml:space="preserve"> certain claims to which </w:t>
      </w:r>
      <w:r w:rsidR="006F0EDC">
        <w:rPr>
          <w:rFonts w:eastAsia="Times New Roman" w:cstheme="minorHAnsi"/>
        </w:rPr>
        <w:t>I have</w:t>
      </w:r>
      <w:r>
        <w:rPr>
          <w:rFonts w:eastAsia="Times New Roman" w:cstheme="minorHAnsi"/>
        </w:rPr>
        <w:t xml:space="preserve"> acquiesce</w:t>
      </w:r>
      <w:r w:rsidR="006F0EDC">
        <w:rPr>
          <w:rFonts w:eastAsia="Times New Roman" w:cstheme="minorHAnsi"/>
        </w:rPr>
        <w:t>d</w:t>
      </w:r>
      <w:r w:rsidR="00A20A53">
        <w:rPr>
          <w:rFonts w:eastAsia="Times New Roman" w:cstheme="minorHAnsi"/>
        </w:rPr>
        <w:t xml:space="preserve"> </w:t>
      </w:r>
      <w:r w:rsidR="00992433">
        <w:rPr>
          <w:rFonts w:eastAsia="Times New Roman" w:cstheme="minorHAnsi"/>
        </w:rPr>
        <w:t>about that person</w:t>
      </w:r>
      <w:r w:rsidR="00A87BA3">
        <w:rPr>
          <w:rFonts w:eastAsia="Times New Roman" w:cstheme="minorHAnsi"/>
        </w:rPr>
        <w:t xml:space="preserve">. </w:t>
      </w:r>
    </w:p>
    <w:p w14:paraId="1F1F753F" w14:textId="02E2058A" w:rsidR="001333FF" w:rsidRDefault="00C15974" w:rsidP="001333FF">
      <w:pPr>
        <w:autoSpaceDE w:val="0"/>
        <w:autoSpaceDN w:val="0"/>
        <w:adjustRightInd w:val="0"/>
        <w:spacing w:line="480" w:lineRule="auto"/>
        <w:ind w:right="-720" w:firstLine="720"/>
        <w:rPr>
          <w:rFonts w:eastAsia="Times New Roman" w:cstheme="minorHAnsi"/>
        </w:rPr>
      </w:pPr>
      <w:r>
        <w:rPr>
          <w:rFonts w:cstheme="minorHAnsi"/>
        </w:rPr>
        <w:lastRenderedPageBreak/>
        <w:t>Furthermore,</w:t>
      </w:r>
      <w:r w:rsidR="00B2472E">
        <w:rPr>
          <w:rFonts w:cstheme="minorHAnsi"/>
        </w:rPr>
        <w:t xml:space="preserve"> t</w:t>
      </w:r>
      <w:r w:rsidR="00626EAD">
        <w:rPr>
          <w:rFonts w:cstheme="minorHAnsi"/>
        </w:rPr>
        <w:t xml:space="preserve">he fact that </w:t>
      </w:r>
      <w:r w:rsidR="00696D46">
        <w:rPr>
          <w:rFonts w:cstheme="minorHAnsi"/>
        </w:rPr>
        <w:t>a propositional attitude (</w:t>
      </w:r>
      <w:r w:rsidR="00A87BA3">
        <w:rPr>
          <w:rFonts w:cstheme="minorHAnsi"/>
        </w:rPr>
        <w:t xml:space="preserve">such as </w:t>
      </w:r>
      <w:r w:rsidR="00696D46">
        <w:rPr>
          <w:rFonts w:cstheme="minorHAnsi"/>
        </w:rPr>
        <w:t>acquiescing to a claim)</w:t>
      </w:r>
      <w:r w:rsidR="001333FF">
        <w:rPr>
          <w:rFonts w:cstheme="minorHAnsi"/>
        </w:rPr>
        <w:t xml:space="preserve"> seems </w:t>
      </w:r>
      <w:r w:rsidR="007D7097" w:rsidRPr="007E5564">
        <w:rPr>
          <w:rFonts w:eastAsia="Times New Roman" w:cstheme="minorHAnsi"/>
        </w:rPr>
        <w:t xml:space="preserve">necessary for faith </w:t>
      </w:r>
      <w:r w:rsidR="001333FF">
        <w:rPr>
          <w:rFonts w:eastAsia="Times New Roman" w:cstheme="minorHAnsi"/>
        </w:rPr>
        <w:t xml:space="preserve">doesn’t mean </w:t>
      </w:r>
      <w:r w:rsidR="001F3075">
        <w:rPr>
          <w:rFonts w:eastAsia="Times New Roman" w:cstheme="minorHAnsi"/>
        </w:rPr>
        <w:t>that these attitudes are constitutive of faith</w:t>
      </w:r>
      <w:r w:rsidR="001333FF">
        <w:rPr>
          <w:rFonts w:eastAsia="Times New Roman" w:cstheme="minorHAnsi"/>
        </w:rPr>
        <w:t>. T</w:t>
      </w:r>
      <w:r w:rsidR="007D7097" w:rsidRPr="007E5564">
        <w:rPr>
          <w:rFonts w:eastAsia="Times New Roman" w:cstheme="minorHAnsi"/>
        </w:rPr>
        <w:t xml:space="preserve">he question </w:t>
      </w:r>
      <w:r w:rsidR="005E303B">
        <w:rPr>
          <w:rFonts w:eastAsia="Times New Roman" w:cstheme="minorHAnsi"/>
        </w:rPr>
        <w:t>comes down to</w:t>
      </w:r>
      <w:r w:rsidR="007D7097" w:rsidRPr="007E5564">
        <w:rPr>
          <w:rFonts w:eastAsia="Times New Roman" w:cstheme="minorHAnsi"/>
        </w:rPr>
        <w:t xml:space="preserve"> whether </w:t>
      </w:r>
      <w:r w:rsidR="005E303B">
        <w:rPr>
          <w:rFonts w:eastAsia="Times New Roman" w:cstheme="minorHAnsi"/>
        </w:rPr>
        <w:t>propositional attitudes</w:t>
      </w:r>
      <w:r w:rsidR="007D7097" w:rsidRPr="007E5564">
        <w:rPr>
          <w:rFonts w:eastAsia="Times New Roman" w:cstheme="minorHAnsi"/>
        </w:rPr>
        <w:t xml:space="preserve"> are conceptually necessary or causally necessary. If a </w:t>
      </w:r>
      <w:r w:rsidR="000B155C" w:rsidRPr="007E5564">
        <w:rPr>
          <w:rFonts w:eastAsia="Times New Roman" w:cstheme="minorHAnsi"/>
        </w:rPr>
        <w:t>propositional attitude</w:t>
      </w:r>
      <w:r w:rsidR="007D7097" w:rsidRPr="007E5564">
        <w:rPr>
          <w:rFonts w:eastAsia="Times New Roman" w:cstheme="minorHAnsi"/>
        </w:rPr>
        <w:t xml:space="preserve"> is only causally necessary </w:t>
      </w:r>
      <w:r w:rsidR="00A022EB" w:rsidRPr="007E5564">
        <w:rPr>
          <w:rFonts w:eastAsia="Times New Roman" w:cstheme="minorHAnsi"/>
        </w:rPr>
        <w:t xml:space="preserve">for faith, </w:t>
      </w:r>
      <w:r w:rsidR="001333FF">
        <w:rPr>
          <w:rFonts w:eastAsia="Times New Roman" w:cstheme="minorHAnsi"/>
        </w:rPr>
        <w:t xml:space="preserve">then faith </w:t>
      </w:r>
      <w:r w:rsidR="005E303B">
        <w:rPr>
          <w:rFonts w:eastAsia="Times New Roman" w:cstheme="minorHAnsi"/>
        </w:rPr>
        <w:t>is not fundamentally</w:t>
      </w:r>
      <w:r w:rsidR="007D7097" w:rsidRPr="007E5564">
        <w:rPr>
          <w:rFonts w:eastAsia="Times New Roman" w:cstheme="minorHAnsi"/>
        </w:rPr>
        <w:t xml:space="preserve"> propositional. </w:t>
      </w:r>
      <w:r w:rsidR="00696D46">
        <w:rPr>
          <w:rFonts w:eastAsia="Times New Roman" w:cstheme="minorHAnsi"/>
        </w:rPr>
        <w:t>My claim is that</w:t>
      </w:r>
      <w:r w:rsidR="007D7097" w:rsidRPr="007E5564">
        <w:rPr>
          <w:rFonts w:eastAsia="Times New Roman" w:cstheme="minorHAnsi"/>
        </w:rPr>
        <w:t xml:space="preserve"> beliefs are</w:t>
      </w:r>
      <w:r w:rsidR="00A022EB" w:rsidRPr="007E5564">
        <w:rPr>
          <w:rFonts w:eastAsia="Times New Roman" w:cstheme="minorHAnsi"/>
        </w:rPr>
        <w:t>, if anything,</w:t>
      </w:r>
      <w:r w:rsidR="007D7097" w:rsidRPr="007E5564">
        <w:rPr>
          <w:rFonts w:eastAsia="Times New Roman" w:cstheme="minorHAnsi"/>
        </w:rPr>
        <w:t xml:space="preserve"> causally necessary </w:t>
      </w:r>
      <w:r w:rsidR="001333FF">
        <w:rPr>
          <w:rFonts w:eastAsia="Times New Roman" w:cstheme="minorHAnsi"/>
        </w:rPr>
        <w:t>since it seems</w:t>
      </w:r>
      <w:r w:rsidR="00A022EB" w:rsidRPr="007E5564">
        <w:rPr>
          <w:rFonts w:eastAsia="Times New Roman" w:cstheme="minorHAnsi"/>
        </w:rPr>
        <w:t xml:space="preserve"> po</w:t>
      </w:r>
      <w:r w:rsidR="000B155C" w:rsidRPr="007E5564">
        <w:rPr>
          <w:rFonts w:eastAsia="Times New Roman" w:cstheme="minorHAnsi"/>
        </w:rPr>
        <w:t xml:space="preserve">ssible </w:t>
      </w:r>
      <w:r w:rsidR="001333FF">
        <w:rPr>
          <w:rFonts w:eastAsia="Times New Roman" w:cstheme="minorHAnsi"/>
        </w:rPr>
        <w:t xml:space="preserve">to </w:t>
      </w:r>
      <w:r w:rsidR="000B155C" w:rsidRPr="007E5564">
        <w:rPr>
          <w:rFonts w:eastAsia="Times New Roman" w:cstheme="minorHAnsi"/>
        </w:rPr>
        <w:t xml:space="preserve">have faith without any specific beliefs informing the faith commitment. I can </w:t>
      </w:r>
      <w:r w:rsidR="00873B69" w:rsidRPr="007E5564">
        <w:rPr>
          <w:rFonts w:eastAsia="Times New Roman" w:cstheme="minorHAnsi"/>
        </w:rPr>
        <w:t xml:space="preserve">of course </w:t>
      </w:r>
      <w:r w:rsidR="000B155C" w:rsidRPr="007E5564">
        <w:rPr>
          <w:rFonts w:eastAsia="Times New Roman" w:cstheme="minorHAnsi"/>
        </w:rPr>
        <w:t xml:space="preserve">put my life in the hands of someone I believe is </w:t>
      </w:r>
      <w:r w:rsidR="00873B69" w:rsidRPr="007E5564">
        <w:rPr>
          <w:rFonts w:eastAsia="Times New Roman" w:cstheme="minorHAnsi"/>
        </w:rPr>
        <w:t xml:space="preserve">trustworthy. </w:t>
      </w:r>
      <w:r w:rsidR="005E303B">
        <w:rPr>
          <w:rFonts w:eastAsia="Times New Roman" w:cstheme="minorHAnsi"/>
        </w:rPr>
        <w:t>And, though it is not recommended,</w:t>
      </w:r>
      <w:r w:rsidR="00873B69" w:rsidRPr="007E5564">
        <w:rPr>
          <w:rFonts w:eastAsia="Times New Roman" w:cstheme="minorHAnsi"/>
        </w:rPr>
        <w:t xml:space="preserve"> I can also put my life into the hands of someone who I believe is </w:t>
      </w:r>
      <w:r w:rsidR="000B155C" w:rsidRPr="007E5564">
        <w:rPr>
          <w:rFonts w:eastAsia="Times New Roman" w:cstheme="minorHAnsi"/>
        </w:rPr>
        <w:t>untrustworthy</w:t>
      </w:r>
      <w:r w:rsidR="00873B69" w:rsidRPr="007E5564">
        <w:rPr>
          <w:rFonts w:eastAsia="Times New Roman" w:cstheme="minorHAnsi"/>
        </w:rPr>
        <w:t>.</w:t>
      </w:r>
      <w:r w:rsidR="009C07E8" w:rsidRPr="007E5564">
        <w:rPr>
          <w:rFonts w:eastAsia="Times New Roman" w:cstheme="minorHAnsi"/>
        </w:rPr>
        <w:t xml:space="preserve"> </w:t>
      </w:r>
      <w:r w:rsidR="005E303B">
        <w:rPr>
          <w:rFonts w:eastAsia="Times New Roman" w:cstheme="minorHAnsi"/>
        </w:rPr>
        <w:t xml:space="preserve">The beliefs are opposites and yet these </w:t>
      </w:r>
      <w:r w:rsidR="00732E30">
        <w:rPr>
          <w:rFonts w:eastAsia="Times New Roman" w:cstheme="minorHAnsi"/>
        </w:rPr>
        <w:t>may be identical</w:t>
      </w:r>
      <w:r w:rsidR="005E303B">
        <w:rPr>
          <w:rFonts w:eastAsia="Times New Roman" w:cstheme="minorHAnsi"/>
        </w:rPr>
        <w:t xml:space="preserve"> instances of faith.  </w:t>
      </w:r>
    </w:p>
    <w:p w14:paraId="21D6E067" w14:textId="50549280" w:rsidR="007D7097" w:rsidRPr="00992433" w:rsidRDefault="00BD06D4" w:rsidP="00992433">
      <w:pPr>
        <w:autoSpaceDE w:val="0"/>
        <w:autoSpaceDN w:val="0"/>
        <w:adjustRightInd w:val="0"/>
        <w:spacing w:line="480" w:lineRule="auto"/>
        <w:ind w:right="-720" w:firstLine="720"/>
        <w:rPr>
          <w:rFonts w:eastAsia="Times New Roman" w:cstheme="minorHAnsi"/>
        </w:rPr>
      </w:pPr>
      <w:r>
        <w:rPr>
          <w:rFonts w:eastAsia="Times New Roman" w:cstheme="minorHAnsi"/>
        </w:rPr>
        <w:t>What</w:t>
      </w:r>
      <w:r w:rsidR="001333FF">
        <w:rPr>
          <w:rFonts w:eastAsia="Times New Roman" w:cstheme="minorHAnsi"/>
        </w:rPr>
        <w:t xml:space="preserve"> is </w:t>
      </w:r>
      <w:r w:rsidR="007F4755">
        <w:rPr>
          <w:rFonts w:eastAsia="Times New Roman" w:cstheme="minorHAnsi"/>
        </w:rPr>
        <w:t>at stake here</w:t>
      </w:r>
      <w:r w:rsidR="001333FF">
        <w:rPr>
          <w:rFonts w:eastAsia="Times New Roman" w:cstheme="minorHAnsi"/>
        </w:rPr>
        <w:t>? My concern is not</w:t>
      </w:r>
      <w:r w:rsidR="007F4755">
        <w:rPr>
          <w:rFonts w:eastAsia="Times New Roman" w:cstheme="minorHAnsi"/>
        </w:rPr>
        <w:t xml:space="preserve"> merely</w:t>
      </w:r>
      <w:r w:rsidR="001333FF">
        <w:rPr>
          <w:rFonts w:eastAsia="Times New Roman" w:cstheme="minorHAnsi"/>
        </w:rPr>
        <w:t xml:space="preserve"> terminological in </w:t>
      </w:r>
      <w:r w:rsidR="00A24464" w:rsidRPr="007E5564">
        <w:rPr>
          <w:rFonts w:cstheme="minorHAnsi"/>
        </w:rPr>
        <w:t xml:space="preserve">getting the right label. </w:t>
      </w:r>
      <w:r w:rsidR="00A24464">
        <w:rPr>
          <w:rFonts w:cstheme="minorHAnsi"/>
        </w:rPr>
        <w:t xml:space="preserve">My worry is </w:t>
      </w:r>
      <w:r w:rsidR="007F4755">
        <w:rPr>
          <w:rFonts w:cstheme="minorHAnsi"/>
        </w:rPr>
        <w:t>that to think</w:t>
      </w:r>
      <w:r w:rsidR="00A24464">
        <w:rPr>
          <w:rFonts w:cstheme="minorHAnsi"/>
        </w:rPr>
        <w:t xml:space="preserve"> of faith as propositional</w:t>
      </w:r>
      <w:r w:rsidR="001333FF">
        <w:rPr>
          <w:rFonts w:cstheme="minorHAnsi"/>
        </w:rPr>
        <w:t xml:space="preserve"> in a conceptually necessary sense</w:t>
      </w:r>
      <w:r w:rsidR="00A24464">
        <w:rPr>
          <w:rFonts w:cstheme="minorHAnsi"/>
        </w:rPr>
        <w:t xml:space="preserve"> has the potential to get the relationship between faith and evidence </w:t>
      </w:r>
      <w:r w:rsidR="00726C9B">
        <w:rPr>
          <w:rFonts w:cstheme="minorHAnsi"/>
        </w:rPr>
        <w:t xml:space="preserve">substantively </w:t>
      </w:r>
      <w:r w:rsidR="00A24464">
        <w:rPr>
          <w:rFonts w:cstheme="minorHAnsi"/>
        </w:rPr>
        <w:t xml:space="preserve">wrong. </w:t>
      </w:r>
      <w:r>
        <w:rPr>
          <w:rFonts w:cstheme="minorHAnsi"/>
        </w:rPr>
        <w:t>If faith is propositional, e</w:t>
      </w:r>
      <w:r w:rsidR="007F4755">
        <w:rPr>
          <w:rFonts w:cstheme="minorHAnsi"/>
        </w:rPr>
        <w:t xml:space="preserve">vidence could play </w:t>
      </w:r>
      <w:r>
        <w:rPr>
          <w:rFonts w:cstheme="minorHAnsi"/>
        </w:rPr>
        <w:t xml:space="preserve">far </w:t>
      </w:r>
      <w:r w:rsidR="007F4755">
        <w:rPr>
          <w:rFonts w:cstheme="minorHAnsi"/>
        </w:rPr>
        <w:t xml:space="preserve">too </w:t>
      </w:r>
      <w:r>
        <w:rPr>
          <w:rFonts w:cstheme="minorHAnsi"/>
        </w:rPr>
        <w:t xml:space="preserve">large </w:t>
      </w:r>
      <w:r w:rsidR="007F4755">
        <w:rPr>
          <w:rFonts w:cstheme="minorHAnsi"/>
        </w:rPr>
        <w:t xml:space="preserve">of a role in </w:t>
      </w:r>
      <w:r w:rsidR="00992433">
        <w:rPr>
          <w:rFonts w:cstheme="minorHAnsi"/>
        </w:rPr>
        <w:t>one coming to faith</w:t>
      </w:r>
      <w:r w:rsidR="007F4755">
        <w:rPr>
          <w:rFonts w:cstheme="minorHAnsi"/>
        </w:rPr>
        <w:t>. Or</w:t>
      </w:r>
      <w:r w:rsidR="00992433">
        <w:rPr>
          <w:rFonts w:cstheme="minorHAnsi"/>
        </w:rPr>
        <w:t xml:space="preserve"> </w:t>
      </w:r>
      <w:r>
        <w:rPr>
          <w:rFonts w:cstheme="minorHAnsi"/>
        </w:rPr>
        <w:t xml:space="preserve">one could go in the opposite direction and think </w:t>
      </w:r>
      <w:r w:rsidR="007F4755">
        <w:rPr>
          <w:rFonts w:cstheme="minorHAnsi"/>
        </w:rPr>
        <w:t xml:space="preserve">of faith as a kind of deficient belief that </w:t>
      </w:r>
      <w:r w:rsidR="008D6F03">
        <w:rPr>
          <w:rFonts w:cstheme="minorHAnsi"/>
        </w:rPr>
        <w:t xml:space="preserve">necessarily </w:t>
      </w:r>
      <w:r w:rsidR="007F4755">
        <w:rPr>
          <w:rFonts w:cstheme="minorHAnsi"/>
        </w:rPr>
        <w:t xml:space="preserve">lacks evidence. </w:t>
      </w:r>
      <w:r w:rsidR="007F4755">
        <w:rPr>
          <w:rFonts w:eastAsia="Times New Roman" w:cstheme="minorHAnsi"/>
        </w:rPr>
        <w:t>For me</w:t>
      </w:r>
      <w:r w:rsidR="00A24464">
        <w:rPr>
          <w:rFonts w:eastAsia="Times New Roman" w:cstheme="minorHAnsi"/>
        </w:rPr>
        <w:t xml:space="preserve">, </w:t>
      </w:r>
      <w:r w:rsidR="007F4755">
        <w:rPr>
          <w:rFonts w:eastAsia="Times New Roman" w:cstheme="minorHAnsi"/>
        </w:rPr>
        <w:t xml:space="preserve">what it really comes down to </w:t>
      </w:r>
      <w:r w:rsidR="00A24464">
        <w:rPr>
          <w:rFonts w:eastAsia="Times New Roman" w:cstheme="minorHAnsi"/>
        </w:rPr>
        <w:t>w</w:t>
      </w:r>
      <w:r w:rsidR="009C07E8" w:rsidRPr="007E5564">
        <w:rPr>
          <w:rFonts w:eastAsia="Times New Roman" w:cstheme="minorHAnsi"/>
        </w:rPr>
        <w:t xml:space="preserve">hen </w:t>
      </w:r>
      <w:r w:rsidR="007F4755">
        <w:rPr>
          <w:rFonts w:eastAsia="Times New Roman" w:cstheme="minorHAnsi"/>
        </w:rPr>
        <w:t>I</w:t>
      </w:r>
      <w:r w:rsidR="009C07E8" w:rsidRPr="007E5564">
        <w:rPr>
          <w:rFonts w:eastAsia="Times New Roman" w:cstheme="minorHAnsi"/>
        </w:rPr>
        <w:t xml:space="preserve"> </w:t>
      </w:r>
      <w:r w:rsidR="007D7097" w:rsidRPr="007E5564">
        <w:rPr>
          <w:rFonts w:eastAsia="Times New Roman" w:cstheme="minorHAnsi"/>
        </w:rPr>
        <w:t xml:space="preserve">zero in on faith </w:t>
      </w:r>
      <w:r w:rsidR="00732E30">
        <w:rPr>
          <w:rFonts w:eastAsia="Times New Roman" w:cstheme="minorHAnsi"/>
        </w:rPr>
        <w:t>in the context of relationships</w:t>
      </w:r>
      <w:r w:rsidR="009C07E8" w:rsidRPr="007E5564">
        <w:rPr>
          <w:rFonts w:eastAsia="Times New Roman" w:cstheme="minorHAnsi"/>
        </w:rPr>
        <w:t xml:space="preserve"> and not the conditions leading to faith, </w:t>
      </w:r>
      <w:r w:rsidR="00732E30">
        <w:rPr>
          <w:rFonts w:eastAsia="Times New Roman" w:cstheme="minorHAnsi"/>
        </w:rPr>
        <w:t>the fundamental state is not a cognitive stance but one characterized by relational terms, such as trust, reliance and dependence</w:t>
      </w:r>
      <w:r w:rsidR="0029237C" w:rsidRPr="007E5564">
        <w:rPr>
          <w:rFonts w:eastAsia="Times New Roman" w:cstheme="minorHAnsi"/>
        </w:rPr>
        <w:t xml:space="preserve">. </w:t>
      </w:r>
      <w:r w:rsidR="00A24464" w:rsidRPr="007E5564">
        <w:rPr>
          <w:rFonts w:eastAsia="Times New Roman" w:cstheme="minorHAnsi"/>
        </w:rPr>
        <w:t>This puts faith in moral categories rather than epistemological categories.</w:t>
      </w:r>
    </w:p>
    <w:p w14:paraId="610C147E" w14:textId="752B13F9"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t>Now you might be wondering if faith doesn</w:t>
      </w:r>
      <w:r w:rsidRPr="007E5564">
        <w:rPr>
          <w:rFonts w:eastAsia="Times New Roman" w:cstheme="minorHAnsi"/>
        </w:rPr>
        <w:t xml:space="preserve">’t fit in an epistemological category, how it is I’ll be giving an evidentialist model of faith. Well sit back and relax, we’ll get there soon enough. </w:t>
      </w:r>
      <w:r w:rsidR="00A24464">
        <w:rPr>
          <w:rFonts w:eastAsia="Times New Roman" w:cstheme="minorHAnsi"/>
        </w:rPr>
        <w:t xml:space="preserve">It </w:t>
      </w:r>
      <w:r w:rsidR="00992433">
        <w:rPr>
          <w:rFonts w:eastAsia="Times New Roman" w:cstheme="minorHAnsi"/>
        </w:rPr>
        <w:t>will be</w:t>
      </w:r>
      <w:r w:rsidR="00A24464">
        <w:rPr>
          <w:rFonts w:eastAsia="Times New Roman" w:cstheme="minorHAnsi"/>
        </w:rPr>
        <w:t xml:space="preserve"> the conditions leading to faith where the epistemology figures in. </w:t>
      </w:r>
      <w:r w:rsidRPr="007E5564">
        <w:rPr>
          <w:rFonts w:eastAsia="Times New Roman" w:cstheme="minorHAnsi"/>
        </w:rPr>
        <w:t xml:space="preserve">But first, we </w:t>
      </w:r>
      <w:r w:rsidR="002E5B98">
        <w:rPr>
          <w:rFonts w:eastAsia="Times New Roman" w:cstheme="minorHAnsi"/>
        </w:rPr>
        <w:t xml:space="preserve">must </w:t>
      </w:r>
      <w:r w:rsidR="00726C9B">
        <w:rPr>
          <w:rFonts w:eastAsia="Times New Roman" w:cstheme="minorHAnsi"/>
        </w:rPr>
        <w:t xml:space="preserve">say a bit more about the </w:t>
      </w:r>
      <w:r w:rsidR="002E5B98">
        <w:rPr>
          <w:rFonts w:eastAsia="Times New Roman" w:cstheme="minorHAnsi"/>
        </w:rPr>
        <w:t>nature of faith</w:t>
      </w:r>
      <w:r w:rsidRPr="007E5564">
        <w:rPr>
          <w:rFonts w:eastAsia="Times New Roman" w:cstheme="minorHAnsi"/>
        </w:rPr>
        <w:t xml:space="preserve">. </w:t>
      </w:r>
    </w:p>
    <w:p w14:paraId="391988C1" w14:textId="31F2B5CB" w:rsidR="0096454B" w:rsidRPr="007E5564" w:rsidRDefault="0096454B" w:rsidP="00143EDD">
      <w:pPr>
        <w:autoSpaceDE w:val="0"/>
        <w:autoSpaceDN w:val="0"/>
        <w:adjustRightInd w:val="0"/>
        <w:spacing w:line="480" w:lineRule="auto"/>
        <w:ind w:right="-720"/>
        <w:rPr>
          <w:rFonts w:cstheme="minorHAnsi"/>
          <w:b/>
        </w:rPr>
      </w:pPr>
      <w:r w:rsidRPr="007E5564">
        <w:rPr>
          <w:rFonts w:cstheme="minorHAnsi"/>
          <w:b/>
        </w:rPr>
        <w:t xml:space="preserve">What </w:t>
      </w:r>
      <w:r w:rsidR="00726C9B">
        <w:rPr>
          <w:rFonts w:cstheme="minorHAnsi"/>
          <w:b/>
        </w:rPr>
        <w:t xml:space="preserve">then </w:t>
      </w:r>
      <w:r w:rsidRPr="007E5564">
        <w:rPr>
          <w:rFonts w:cstheme="minorHAnsi"/>
          <w:b/>
        </w:rPr>
        <w:t>is faith?</w:t>
      </w:r>
    </w:p>
    <w:p w14:paraId="48F17BC9" w14:textId="5246961E" w:rsidR="004C1CE4" w:rsidRDefault="00F76429" w:rsidP="004C1CE4">
      <w:pPr>
        <w:autoSpaceDE w:val="0"/>
        <w:autoSpaceDN w:val="0"/>
        <w:adjustRightInd w:val="0"/>
        <w:spacing w:after="0" w:line="480" w:lineRule="auto"/>
        <w:ind w:firstLine="720"/>
      </w:pPr>
      <w:r>
        <w:rPr>
          <w:rFonts w:cstheme="minorHAnsi"/>
        </w:rPr>
        <w:t xml:space="preserve">Rather than thinking of faith </w:t>
      </w:r>
      <w:r w:rsidR="00AB11C1">
        <w:rPr>
          <w:rFonts w:cstheme="minorHAnsi"/>
        </w:rPr>
        <w:t>in propositional terms</w:t>
      </w:r>
      <w:r>
        <w:rPr>
          <w:rFonts w:cstheme="minorHAnsi"/>
        </w:rPr>
        <w:t xml:space="preserve">, </w:t>
      </w:r>
      <w:r w:rsidR="00AB11C1">
        <w:rPr>
          <w:rFonts w:cstheme="minorHAnsi"/>
        </w:rPr>
        <w:t xml:space="preserve">I want to suggest that faith, especially in the context of relationships, fundamentally involves trust. </w:t>
      </w:r>
      <w:r w:rsidR="0036136B">
        <w:rPr>
          <w:rFonts w:cstheme="minorHAnsi"/>
        </w:rPr>
        <w:t xml:space="preserve">Though </w:t>
      </w:r>
      <w:r w:rsidR="0031135A">
        <w:rPr>
          <w:rFonts w:cstheme="minorHAnsi"/>
        </w:rPr>
        <w:t xml:space="preserve">trust is a very </w:t>
      </w:r>
      <w:r w:rsidR="0031135A">
        <w:rPr>
          <w:rFonts w:cstheme="minorHAnsi"/>
        </w:rPr>
        <w:lastRenderedPageBreak/>
        <w:t xml:space="preserve">basic human experience and easy to ostensively point at, it is not </w:t>
      </w:r>
      <w:r w:rsidR="008328A0">
        <w:rPr>
          <w:rFonts w:cstheme="minorHAnsi"/>
        </w:rPr>
        <w:t xml:space="preserve">so </w:t>
      </w:r>
      <w:r w:rsidR="007A7FFE">
        <w:rPr>
          <w:rFonts w:cstheme="minorHAnsi"/>
        </w:rPr>
        <w:t>easy to</w:t>
      </w:r>
      <w:r w:rsidR="0031135A">
        <w:rPr>
          <w:rFonts w:cstheme="minorHAnsi"/>
        </w:rPr>
        <w:t xml:space="preserve"> define. </w:t>
      </w:r>
      <w:r w:rsidR="00732E30">
        <w:rPr>
          <w:rFonts w:cstheme="minorHAnsi"/>
        </w:rPr>
        <w:t xml:space="preserve">Richard </w:t>
      </w:r>
      <w:r w:rsidR="0036136B">
        <w:rPr>
          <w:rFonts w:cstheme="minorHAnsi"/>
        </w:rPr>
        <w:t xml:space="preserve">Swinburne characterizes trust along the lines of acting </w:t>
      </w:r>
      <w:r w:rsidR="003B0ECE">
        <w:rPr>
          <w:rFonts w:cstheme="minorHAnsi"/>
        </w:rPr>
        <w:t xml:space="preserve">on </w:t>
      </w:r>
      <w:r w:rsidR="00861ACD">
        <w:rPr>
          <w:rFonts w:cstheme="minorHAnsi"/>
        </w:rPr>
        <w:t xml:space="preserve">certain </w:t>
      </w:r>
      <w:r w:rsidR="003B0ECE">
        <w:rPr>
          <w:rFonts w:cstheme="minorHAnsi"/>
        </w:rPr>
        <w:t>assumptions</w:t>
      </w:r>
      <w:r w:rsidR="00861ACD">
        <w:rPr>
          <w:rFonts w:cstheme="minorHAnsi"/>
        </w:rPr>
        <w:t>.</w:t>
      </w:r>
      <w:r w:rsidR="007A7FFE">
        <w:rPr>
          <w:rStyle w:val="FootnoteReference"/>
          <w:rFonts w:cstheme="minorHAnsi"/>
        </w:rPr>
        <w:footnoteReference w:id="12"/>
      </w:r>
      <w:r w:rsidR="00861ACD">
        <w:rPr>
          <w:rFonts w:cstheme="minorHAnsi"/>
        </w:rPr>
        <w:t xml:space="preserve"> </w:t>
      </w:r>
      <w:r w:rsidR="004C1CE4">
        <w:t>What is it to act on an assumption? Swinburne says it this way:</w:t>
      </w:r>
    </w:p>
    <w:p w14:paraId="7326A5C2" w14:textId="77777777" w:rsidR="004C1CE4" w:rsidRPr="00861ACD" w:rsidRDefault="004C1CE4" w:rsidP="004C1CE4">
      <w:pPr>
        <w:autoSpaceDE w:val="0"/>
        <w:autoSpaceDN w:val="0"/>
        <w:adjustRightInd w:val="0"/>
        <w:spacing w:after="0" w:line="240" w:lineRule="auto"/>
        <w:ind w:left="720"/>
        <w:rPr>
          <w:rFonts w:eastAsia="AdvPAD0C" w:cstheme="minorHAnsi"/>
        </w:rPr>
      </w:pPr>
      <w:r w:rsidRPr="00861ACD">
        <w:rPr>
          <w:rFonts w:eastAsia="AdvPAD0C" w:cstheme="minorHAnsi"/>
        </w:rPr>
        <w:t>to act on the assumption that p is to do those actions which you would do if you believed that p. To act on the assumption that p is to use p as a premiss in your practical inferences, whether or not you believe p.</w:t>
      </w:r>
      <w:r>
        <w:rPr>
          <w:rStyle w:val="FootnoteReference"/>
          <w:rFonts w:eastAsia="AdvPAD0C" w:cstheme="minorHAnsi"/>
        </w:rPr>
        <w:footnoteReference w:id="13"/>
      </w:r>
      <w:r w:rsidRPr="00861ACD">
        <w:rPr>
          <w:rFonts w:eastAsia="AdvPAD0C" w:cstheme="minorHAnsi"/>
        </w:rPr>
        <w:t xml:space="preserve"> </w:t>
      </w:r>
    </w:p>
    <w:p w14:paraId="3DC9A13C" w14:textId="77777777" w:rsidR="00AA3B08" w:rsidRDefault="00AA3B08" w:rsidP="004C1CE4">
      <w:pPr>
        <w:autoSpaceDE w:val="0"/>
        <w:autoSpaceDN w:val="0"/>
        <w:adjustRightInd w:val="0"/>
        <w:spacing w:line="480" w:lineRule="auto"/>
        <w:ind w:right="-720"/>
        <w:rPr>
          <w:rFonts w:cstheme="minorHAnsi"/>
        </w:rPr>
      </w:pPr>
    </w:p>
    <w:p w14:paraId="127AA5C7" w14:textId="2E563F5D" w:rsidR="0036136B" w:rsidRDefault="00861ACD" w:rsidP="004C1CE4">
      <w:pPr>
        <w:autoSpaceDE w:val="0"/>
        <w:autoSpaceDN w:val="0"/>
        <w:adjustRightInd w:val="0"/>
        <w:spacing w:line="480" w:lineRule="auto"/>
        <w:ind w:right="-720"/>
        <w:rPr>
          <w:rFonts w:cstheme="minorHAnsi"/>
        </w:rPr>
      </w:pPr>
      <w:r>
        <w:rPr>
          <w:rFonts w:cstheme="minorHAnsi"/>
        </w:rPr>
        <w:t xml:space="preserve">He </w:t>
      </w:r>
      <w:r w:rsidR="004C1CE4">
        <w:rPr>
          <w:rFonts w:cstheme="minorHAnsi"/>
        </w:rPr>
        <w:t xml:space="preserve">goes on to offer an account of trust. He </w:t>
      </w:r>
      <w:r>
        <w:rPr>
          <w:rFonts w:cstheme="minorHAnsi"/>
        </w:rPr>
        <w:t>says:</w:t>
      </w:r>
    </w:p>
    <w:p w14:paraId="609A9F22" w14:textId="51CCD712" w:rsidR="00861ACD" w:rsidRPr="00861ACD" w:rsidRDefault="00861ACD" w:rsidP="004C1CE4">
      <w:pPr>
        <w:autoSpaceDE w:val="0"/>
        <w:autoSpaceDN w:val="0"/>
        <w:adjustRightInd w:val="0"/>
        <w:spacing w:after="0" w:line="240" w:lineRule="auto"/>
        <w:ind w:left="720"/>
        <w:rPr>
          <w:rFonts w:cstheme="minorHAnsi"/>
        </w:rPr>
      </w:pPr>
      <w:r w:rsidRPr="00861ACD">
        <w:rPr>
          <w:rFonts w:eastAsia="AdvPAD0C" w:cstheme="minorHAnsi"/>
        </w:rPr>
        <w:t>To trust someone is to act on the assumption that she will do for you what she knows that you want or need, when the evidence gives some reason for supposing that she may not and where there will be bad consequences if the assumption is false.</w:t>
      </w:r>
      <w:r>
        <w:rPr>
          <w:rStyle w:val="FootnoteReference"/>
          <w:rFonts w:eastAsia="AdvPAD0C" w:cstheme="minorHAnsi"/>
        </w:rPr>
        <w:footnoteReference w:id="14"/>
      </w:r>
    </w:p>
    <w:p w14:paraId="56FDA652" w14:textId="77777777" w:rsidR="004C1CE4" w:rsidRDefault="004C1CE4" w:rsidP="00861ACD">
      <w:pPr>
        <w:autoSpaceDE w:val="0"/>
        <w:autoSpaceDN w:val="0"/>
        <w:adjustRightInd w:val="0"/>
        <w:spacing w:after="0" w:line="480" w:lineRule="auto"/>
      </w:pPr>
    </w:p>
    <w:p w14:paraId="0FB8B2A0" w14:textId="2D2561D2" w:rsidR="008D1E82" w:rsidRDefault="00D02A06" w:rsidP="00861ACD">
      <w:pPr>
        <w:autoSpaceDE w:val="0"/>
        <w:autoSpaceDN w:val="0"/>
        <w:adjustRightInd w:val="0"/>
        <w:spacing w:after="0" w:line="480" w:lineRule="auto"/>
      </w:pPr>
      <w:r>
        <w:t>Though it seems clear enough what Swinburne is getting at, h</w:t>
      </w:r>
      <w:r w:rsidR="007E0710">
        <w:t>is</w:t>
      </w:r>
      <w:r w:rsidR="00BF2FA6">
        <w:t xml:space="preserve"> definition of trust here seems overly specified</w:t>
      </w:r>
      <w:r w:rsidR="006A5F6F">
        <w:t>,</w:t>
      </w:r>
      <w:r w:rsidR="00BF2FA6">
        <w:t xml:space="preserve"> </w:t>
      </w:r>
      <w:r w:rsidR="006A5F6F">
        <w:t>which makes it</w:t>
      </w:r>
      <w:r w:rsidR="00BF2FA6">
        <w:t xml:space="preserve"> a bit clunky. </w:t>
      </w:r>
      <w:r w:rsidR="00B70BCD">
        <w:t>Paul Helm summarizes Swinburne</w:t>
      </w:r>
      <w:r w:rsidR="007E0710">
        <w:t>’s view as</w:t>
      </w:r>
      <w:r w:rsidR="00B70BCD">
        <w:t>, “</w:t>
      </w:r>
      <w:r w:rsidR="006A5F6F">
        <w:t xml:space="preserve">Trust is </w:t>
      </w:r>
      <w:r w:rsidR="00B70BCD">
        <w:t>a case of acting on the assumption that p when there is some reason to doubt that p.”</w:t>
      </w:r>
      <w:r w:rsidR="00B70BCD">
        <w:rPr>
          <w:rStyle w:val="FootnoteReference"/>
        </w:rPr>
        <w:footnoteReference w:id="15"/>
      </w:r>
      <w:r w:rsidR="00B70BCD">
        <w:t xml:space="preserve"> </w:t>
      </w:r>
      <w:r w:rsidR="006A5F6F">
        <w:t xml:space="preserve">What both of these seem to be </w:t>
      </w:r>
      <w:r w:rsidR="004C1CE4">
        <w:t>attempting to capture</w:t>
      </w:r>
      <w:r w:rsidR="006A5F6F">
        <w:t xml:space="preserve"> is the </w:t>
      </w:r>
      <w:r w:rsidR="007E0710">
        <w:t xml:space="preserve">risk involved in trusting someone. </w:t>
      </w:r>
      <w:r w:rsidR="00861ACD">
        <w:t xml:space="preserve">If there is no </w:t>
      </w:r>
      <w:r w:rsidR="006A5F6F">
        <w:t>risk that one</w:t>
      </w:r>
      <w:r w:rsidR="00861ACD">
        <w:t xml:space="preserve"> fail</w:t>
      </w:r>
      <w:r w:rsidR="006A5F6F">
        <w:t>s</w:t>
      </w:r>
      <w:r w:rsidR="00861ACD">
        <w:t xml:space="preserve"> to do what you want or need</w:t>
      </w:r>
      <w:r w:rsidR="006A5F6F">
        <w:t xml:space="preserve"> and</w:t>
      </w:r>
      <w:r w:rsidR="00861ACD">
        <w:t xml:space="preserve"> if there is no significant negative consequence risked, then </w:t>
      </w:r>
      <w:r w:rsidR="006A5F6F">
        <w:t xml:space="preserve">it seems </w:t>
      </w:r>
      <w:r w:rsidR="00861ACD">
        <w:t xml:space="preserve">we are not genuinely trusting someone. </w:t>
      </w:r>
      <w:r w:rsidR="004C1CE4">
        <w:t xml:space="preserve">For example, </w:t>
      </w:r>
      <w:r w:rsidR="00861ACD">
        <w:t xml:space="preserve">I may act on the assumption that </w:t>
      </w:r>
      <w:r w:rsidR="0011437B">
        <w:t xml:space="preserve">my coworker </w:t>
      </w:r>
      <w:r w:rsidR="00861ACD">
        <w:t xml:space="preserve">will </w:t>
      </w:r>
      <w:r w:rsidR="0011437B">
        <w:t>ride with me</w:t>
      </w:r>
      <w:r w:rsidR="00861ACD">
        <w:t xml:space="preserve"> across town </w:t>
      </w:r>
      <w:r w:rsidR="0011437B">
        <w:t>for</w:t>
      </w:r>
      <w:r w:rsidR="00861ACD">
        <w:t xml:space="preserve"> a meeting. But if </w:t>
      </w:r>
      <w:r w:rsidR="0011437B">
        <w:t xml:space="preserve">there’s nothing at stake in him </w:t>
      </w:r>
      <w:r w:rsidR="00B930EB">
        <w:t>riding</w:t>
      </w:r>
      <w:r w:rsidR="0011437B">
        <w:t xml:space="preserve"> with me </w:t>
      </w:r>
      <w:r w:rsidR="00861ACD">
        <w:t xml:space="preserve">(i.e., I’m driving there </w:t>
      </w:r>
      <w:r w:rsidR="00B930EB">
        <w:t>whether he comes or not</w:t>
      </w:r>
      <w:r w:rsidR="00861ACD">
        <w:t xml:space="preserve">, </w:t>
      </w:r>
      <w:r w:rsidR="0011437B">
        <w:t>I know all the shortcuts</w:t>
      </w:r>
      <w:r w:rsidR="00861ACD">
        <w:t xml:space="preserve">, </w:t>
      </w:r>
      <w:r w:rsidR="004C1CE4">
        <w:t xml:space="preserve">my coworker </w:t>
      </w:r>
      <w:r w:rsidR="007A7FFE">
        <w:t xml:space="preserve">is not providing </w:t>
      </w:r>
      <w:r w:rsidR="00B930EB">
        <w:t>much needed snacks for</w:t>
      </w:r>
      <w:r w:rsidR="007A7FFE">
        <w:t xml:space="preserve"> the </w:t>
      </w:r>
      <w:r w:rsidR="00B930EB">
        <w:t>ride over</w:t>
      </w:r>
      <w:r w:rsidR="004C1CE4">
        <w:t xml:space="preserve">, </w:t>
      </w:r>
      <w:r w:rsidR="00861ACD">
        <w:t xml:space="preserve">etc.), then </w:t>
      </w:r>
      <w:r w:rsidR="004C1CE4">
        <w:t>this doesn’t seem to be an instance of trust</w:t>
      </w:r>
      <w:r w:rsidR="00861ACD">
        <w:t xml:space="preserve">. </w:t>
      </w:r>
      <w:r w:rsidR="0011437B">
        <w:t xml:space="preserve">I’ve not ventured anything on my coworker. </w:t>
      </w:r>
      <w:r w:rsidR="00861ACD">
        <w:t xml:space="preserve">However, if </w:t>
      </w:r>
      <w:r w:rsidR="0011437B">
        <w:t>my coworker</w:t>
      </w:r>
      <w:r w:rsidR="00861ACD">
        <w:t xml:space="preserve"> committed to pay for the gas and I don’t otherwise have the </w:t>
      </w:r>
      <w:r w:rsidR="00861ACD">
        <w:lastRenderedPageBreak/>
        <w:t xml:space="preserve">gas money to get across town, then clearly I am trusting </w:t>
      </w:r>
      <w:r w:rsidR="004C1CE4">
        <w:t xml:space="preserve">my </w:t>
      </w:r>
      <w:r w:rsidR="0011437B">
        <w:t>coworker</w:t>
      </w:r>
      <w:r w:rsidR="00B930EB">
        <w:t xml:space="preserve"> to come through for me</w:t>
      </w:r>
      <w:r w:rsidR="00861ACD">
        <w:t xml:space="preserve">. </w:t>
      </w:r>
      <w:r w:rsidR="004C1CE4">
        <w:t xml:space="preserve">In this situation, I have ventured something on my coworker. </w:t>
      </w:r>
    </w:p>
    <w:p w14:paraId="0F395CE3" w14:textId="523AB0F1" w:rsidR="008D1E82" w:rsidRDefault="00B930EB" w:rsidP="008D1E82">
      <w:pPr>
        <w:autoSpaceDE w:val="0"/>
        <w:autoSpaceDN w:val="0"/>
        <w:adjustRightInd w:val="0"/>
        <w:spacing w:after="0" w:line="480" w:lineRule="auto"/>
        <w:ind w:firstLine="720"/>
      </w:pPr>
      <w:r>
        <w:t xml:space="preserve">To capture </w:t>
      </w:r>
      <w:r w:rsidR="0065434F">
        <w:t>the</w:t>
      </w:r>
      <w:r>
        <w:t xml:space="preserve"> sense of risk</w:t>
      </w:r>
      <w:r w:rsidR="0047552B">
        <w:t xml:space="preserve"> involved in trust</w:t>
      </w:r>
      <w:r w:rsidR="00DA3267">
        <w:t xml:space="preserve"> (in a less clunky way!)</w:t>
      </w:r>
      <w:r>
        <w:t>,</w:t>
      </w:r>
      <w:r w:rsidR="008D1E82">
        <w:t xml:space="preserve"> </w:t>
      </w:r>
      <w:r w:rsidR="0065434F">
        <w:t xml:space="preserve">we’ll say that </w:t>
      </w:r>
      <w:r w:rsidR="00497047">
        <w:t>to trust someone is to act on the assumption that she will come through for you in some way that matters to your wellbeing.</w:t>
      </w:r>
      <w:r w:rsidR="00497047">
        <w:rPr>
          <w:rStyle w:val="FootnoteReference"/>
        </w:rPr>
        <w:footnoteReference w:id="16"/>
      </w:r>
      <w:r w:rsidR="00497047">
        <w:t xml:space="preserve"> </w:t>
      </w:r>
      <w:r w:rsidR="0065434F">
        <w:t>You</w:t>
      </w:r>
      <w:r w:rsidR="004A7BD5">
        <w:t xml:space="preserve"> may venture </w:t>
      </w:r>
      <w:r w:rsidR="0065434F">
        <w:t>your</w:t>
      </w:r>
      <w:r w:rsidR="004A7BD5">
        <w:t xml:space="preserve"> wellbeing in small ways, such as </w:t>
      </w:r>
      <w:r w:rsidR="00DA3267">
        <w:t>trusting</w:t>
      </w:r>
      <w:r w:rsidR="004A7BD5">
        <w:t xml:space="preserve"> </w:t>
      </w:r>
      <w:r w:rsidR="0065434F">
        <w:t>your</w:t>
      </w:r>
      <w:r w:rsidR="004A7BD5">
        <w:t xml:space="preserve"> coworker </w:t>
      </w:r>
      <w:r w:rsidR="00DA3267">
        <w:t>to provide</w:t>
      </w:r>
      <w:r w:rsidR="004A7BD5">
        <w:t xml:space="preserve"> snacks for the ride across town. Or </w:t>
      </w:r>
      <w:r w:rsidR="0065434F">
        <w:t>you</w:t>
      </w:r>
      <w:r w:rsidR="004A7BD5">
        <w:t xml:space="preserve"> may venture </w:t>
      </w:r>
      <w:r w:rsidR="0065434F">
        <w:t>your</w:t>
      </w:r>
      <w:r w:rsidR="004A7BD5">
        <w:t xml:space="preserve"> wellbeing in </w:t>
      </w:r>
      <w:r w:rsidR="0047552B">
        <w:t xml:space="preserve">much </w:t>
      </w:r>
      <w:r w:rsidR="004A7BD5">
        <w:t>large</w:t>
      </w:r>
      <w:r w:rsidR="0047552B">
        <w:t>r</w:t>
      </w:r>
      <w:r w:rsidR="004A7BD5">
        <w:t xml:space="preserve"> ways, such as </w:t>
      </w:r>
      <w:r w:rsidR="00DA3267">
        <w:t>trusting</w:t>
      </w:r>
      <w:r w:rsidR="004A7BD5">
        <w:t xml:space="preserve"> a surgeon to competently perform a lifesaving surgery. </w:t>
      </w:r>
      <w:r w:rsidR="00DA3267">
        <w:t>In each case, there’</w:t>
      </w:r>
      <w:r w:rsidR="00AB7452">
        <w:t>s something at stake;</w:t>
      </w:r>
      <w:r w:rsidR="00DA3267">
        <w:t xml:space="preserve"> there’s something ventured. </w:t>
      </w:r>
    </w:p>
    <w:p w14:paraId="55DE2CE6" w14:textId="1E10C187" w:rsidR="00BF4F23" w:rsidRDefault="008D6D40" w:rsidP="00BF1211">
      <w:pPr>
        <w:autoSpaceDE w:val="0"/>
        <w:autoSpaceDN w:val="0"/>
        <w:adjustRightInd w:val="0"/>
        <w:spacing w:line="480" w:lineRule="auto"/>
        <w:ind w:right="-720" w:firstLine="720"/>
        <w:rPr>
          <w:rFonts w:cstheme="minorHAnsi"/>
        </w:rPr>
      </w:pPr>
      <w:r>
        <w:rPr>
          <w:rFonts w:cstheme="minorHAnsi"/>
        </w:rPr>
        <w:t xml:space="preserve"> </w:t>
      </w:r>
      <w:r w:rsidR="0080442D">
        <w:rPr>
          <w:rFonts w:cstheme="minorHAnsi"/>
        </w:rPr>
        <w:t xml:space="preserve">A primary benefit of understanding trust this way is it puts </w:t>
      </w:r>
      <w:r w:rsidR="00327F4A">
        <w:rPr>
          <w:rFonts w:cstheme="minorHAnsi"/>
        </w:rPr>
        <w:t>trust</w:t>
      </w:r>
      <w:r w:rsidR="0080442D">
        <w:rPr>
          <w:rFonts w:cstheme="minorHAnsi"/>
        </w:rPr>
        <w:t xml:space="preserve"> under </w:t>
      </w:r>
      <w:r w:rsidR="0065434F">
        <w:rPr>
          <w:rFonts w:cstheme="minorHAnsi"/>
        </w:rPr>
        <w:t>one’s</w:t>
      </w:r>
      <w:r w:rsidR="0080442D">
        <w:rPr>
          <w:rFonts w:cstheme="minorHAnsi"/>
        </w:rPr>
        <w:t xml:space="preserve"> voluntary control. D</w:t>
      </w:r>
      <w:r w:rsidR="00BF4F23">
        <w:rPr>
          <w:rFonts w:cstheme="minorHAnsi"/>
        </w:rPr>
        <w:t>oxastic attitude</w:t>
      </w:r>
      <w:r w:rsidR="0080442D">
        <w:rPr>
          <w:rFonts w:cstheme="minorHAnsi"/>
        </w:rPr>
        <w:t>s, by contrast,</w:t>
      </w:r>
      <w:r w:rsidR="005A2E03">
        <w:rPr>
          <w:rFonts w:cstheme="minorHAnsi"/>
        </w:rPr>
        <w:t xml:space="preserve"> </w:t>
      </w:r>
      <w:r w:rsidR="0080442D">
        <w:rPr>
          <w:rFonts w:cstheme="minorHAnsi"/>
        </w:rPr>
        <w:t>are</w:t>
      </w:r>
      <w:r w:rsidR="00AC48F7">
        <w:rPr>
          <w:rFonts w:cstheme="minorHAnsi"/>
        </w:rPr>
        <w:t>, for many philosophers,</w:t>
      </w:r>
      <w:r w:rsidR="005A2E03">
        <w:rPr>
          <w:rFonts w:cstheme="minorHAnsi"/>
        </w:rPr>
        <w:t xml:space="preserve"> involuntary</w:t>
      </w:r>
      <w:r w:rsidR="00AC48F7">
        <w:rPr>
          <w:rFonts w:cstheme="minorHAnsi"/>
        </w:rPr>
        <w:t>, at least</w:t>
      </w:r>
      <w:r w:rsidR="00D814F2">
        <w:rPr>
          <w:rFonts w:cstheme="minorHAnsi"/>
        </w:rPr>
        <w:t xml:space="preserve"> in </w:t>
      </w:r>
      <w:r w:rsidR="0080442D">
        <w:rPr>
          <w:rFonts w:cstheme="minorHAnsi"/>
        </w:rPr>
        <w:t>a</w:t>
      </w:r>
      <w:r w:rsidR="00D814F2">
        <w:rPr>
          <w:rFonts w:cstheme="minorHAnsi"/>
        </w:rPr>
        <w:t xml:space="preserve"> direct sense</w:t>
      </w:r>
      <w:r w:rsidR="005A2E03">
        <w:rPr>
          <w:rFonts w:cstheme="minorHAnsi"/>
        </w:rPr>
        <w:t xml:space="preserve">. </w:t>
      </w:r>
      <w:r w:rsidR="000A4F26">
        <w:rPr>
          <w:rFonts w:cstheme="minorHAnsi"/>
        </w:rPr>
        <w:t>What</w:t>
      </w:r>
      <w:r w:rsidR="00D02A06">
        <w:rPr>
          <w:rFonts w:cstheme="minorHAnsi"/>
        </w:rPr>
        <w:t xml:space="preserve"> we lack with beliefs is </w:t>
      </w:r>
      <w:r w:rsidR="000A4F26">
        <w:rPr>
          <w:rFonts w:cstheme="minorHAnsi"/>
        </w:rPr>
        <w:t>what William Alston called “basic voluntary control” which we have</w:t>
      </w:r>
      <w:r w:rsidR="00DA3267">
        <w:rPr>
          <w:rFonts w:cstheme="minorHAnsi"/>
        </w:rPr>
        <w:t>, according to him,</w:t>
      </w:r>
      <w:r w:rsidR="000A4F26">
        <w:rPr>
          <w:rFonts w:cstheme="minorHAnsi"/>
        </w:rPr>
        <w:t xml:space="preserve"> </w:t>
      </w:r>
      <w:r w:rsidR="0065434F">
        <w:rPr>
          <w:rFonts w:cstheme="minorHAnsi"/>
        </w:rPr>
        <w:t>when it comes to</w:t>
      </w:r>
      <w:r w:rsidR="000A4F26">
        <w:rPr>
          <w:rFonts w:cstheme="minorHAnsi"/>
        </w:rPr>
        <w:t xml:space="preserve"> “</w:t>
      </w:r>
      <w:r w:rsidR="000A4F26">
        <w:t>actions we perform ‘at will,’ just by an intention, volition, choice, or decision to do so, things we ‘just do,’ not ‘by’ doing something else voluntarily.”</w:t>
      </w:r>
      <w:r w:rsidR="000A4F26">
        <w:rPr>
          <w:rStyle w:val="FootnoteReference"/>
        </w:rPr>
        <w:footnoteReference w:id="17"/>
      </w:r>
      <w:r w:rsidR="007231E6">
        <w:rPr>
          <w:rFonts w:cstheme="minorHAnsi"/>
        </w:rPr>
        <w:t xml:space="preserve"> </w:t>
      </w:r>
      <w:r w:rsidR="0065434F">
        <w:rPr>
          <w:rFonts w:cstheme="minorHAnsi"/>
        </w:rPr>
        <w:t>Alston was clear that there are things we can do to influence and manipulate our beliefs indirectly, but we do not have basic voluntary control directly over beliefs.</w:t>
      </w:r>
      <w:r w:rsidR="0065434F">
        <w:rPr>
          <w:rStyle w:val="FootnoteReference"/>
          <w:rFonts w:cstheme="minorHAnsi"/>
        </w:rPr>
        <w:footnoteReference w:id="18"/>
      </w:r>
      <w:r w:rsidR="0065434F">
        <w:rPr>
          <w:rFonts w:cstheme="minorHAnsi"/>
        </w:rPr>
        <w:t xml:space="preserve">  In other words, </w:t>
      </w:r>
      <w:r w:rsidR="005A2E03">
        <w:rPr>
          <w:rFonts w:cstheme="minorHAnsi"/>
        </w:rPr>
        <w:t xml:space="preserve">I can’t </w:t>
      </w:r>
      <w:r w:rsidR="0065434F">
        <w:rPr>
          <w:rFonts w:cstheme="minorHAnsi"/>
        </w:rPr>
        <w:t>simply</w:t>
      </w:r>
      <w:r w:rsidR="00A6249A">
        <w:rPr>
          <w:rFonts w:cstheme="minorHAnsi"/>
        </w:rPr>
        <w:t xml:space="preserve"> </w:t>
      </w:r>
      <w:r w:rsidR="005A2E03">
        <w:rPr>
          <w:rFonts w:cstheme="minorHAnsi"/>
        </w:rPr>
        <w:t>choose to believe that God exists</w:t>
      </w:r>
      <w:r w:rsidR="00D814F2">
        <w:rPr>
          <w:rFonts w:cstheme="minorHAnsi"/>
        </w:rPr>
        <w:t>,</w:t>
      </w:r>
      <w:r w:rsidR="005A2E03">
        <w:rPr>
          <w:rFonts w:cstheme="minorHAnsi"/>
        </w:rPr>
        <w:t xml:space="preserve"> (or doesn’t exist) or that I am a billionaire</w:t>
      </w:r>
      <w:r w:rsidR="00D814F2">
        <w:rPr>
          <w:rFonts w:cstheme="minorHAnsi"/>
        </w:rPr>
        <w:t>,</w:t>
      </w:r>
      <w:r w:rsidR="00351B64">
        <w:rPr>
          <w:rFonts w:cstheme="minorHAnsi"/>
        </w:rPr>
        <w:t xml:space="preserve"> or that a certain friend of mine is reliable</w:t>
      </w:r>
      <w:r w:rsidR="000A4F26">
        <w:rPr>
          <w:rFonts w:cstheme="minorHAnsi"/>
        </w:rPr>
        <w:t xml:space="preserve"> just in case I want to</w:t>
      </w:r>
      <w:r w:rsidR="005A2E03">
        <w:rPr>
          <w:rFonts w:cstheme="minorHAnsi"/>
        </w:rPr>
        <w:t xml:space="preserve">. Beliefs, </w:t>
      </w:r>
      <w:r w:rsidR="000A4F26">
        <w:rPr>
          <w:rFonts w:cstheme="minorHAnsi"/>
        </w:rPr>
        <w:t>on this view</w:t>
      </w:r>
      <w:r w:rsidR="005A2E03">
        <w:rPr>
          <w:rFonts w:cstheme="minorHAnsi"/>
        </w:rPr>
        <w:t xml:space="preserve">, arise on the basis of </w:t>
      </w:r>
      <w:r w:rsidR="00C64423">
        <w:rPr>
          <w:rFonts w:cstheme="minorHAnsi"/>
        </w:rPr>
        <w:t>involuntary factors</w:t>
      </w:r>
      <w:r w:rsidR="005A2E03">
        <w:rPr>
          <w:rFonts w:cstheme="minorHAnsi"/>
        </w:rPr>
        <w:t xml:space="preserve">. </w:t>
      </w:r>
      <w:r w:rsidR="00C64423">
        <w:rPr>
          <w:rFonts w:cstheme="minorHAnsi"/>
        </w:rPr>
        <w:t xml:space="preserve">In the good case, our beliefs arise </w:t>
      </w:r>
      <w:r w:rsidR="000A4F26">
        <w:rPr>
          <w:rFonts w:cstheme="minorHAnsi"/>
        </w:rPr>
        <w:t xml:space="preserve">on the </w:t>
      </w:r>
      <w:r w:rsidR="000A4F26">
        <w:rPr>
          <w:rFonts w:cstheme="minorHAnsi"/>
        </w:rPr>
        <w:lastRenderedPageBreak/>
        <w:t>basis of</w:t>
      </w:r>
      <w:r w:rsidR="00C64423">
        <w:rPr>
          <w:rFonts w:cstheme="minorHAnsi"/>
        </w:rPr>
        <w:t xml:space="preserve"> positive epistemic reasons for believing. In the bad case, our beliefs may arise for other factors, such as fears or wishful thoughts. </w:t>
      </w:r>
    </w:p>
    <w:p w14:paraId="3194AB7F" w14:textId="72AF172D" w:rsidR="009222BD" w:rsidRDefault="005A2E03" w:rsidP="00B7209E">
      <w:pPr>
        <w:autoSpaceDE w:val="0"/>
        <w:autoSpaceDN w:val="0"/>
        <w:adjustRightInd w:val="0"/>
        <w:spacing w:line="480" w:lineRule="auto"/>
        <w:ind w:right="-720" w:firstLine="720"/>
        <w:rPr>
          <w:rFonts w:cstheme="minorHAnsi"/>
        </w:rPr>
      </w:pPr>
      <w:r>
        <w:rPr>
          <w:rFonts w:cstheme="minorHAnsi"/>
        </w:rPr>
        <w:t>B</w:t>
      </w:r>
      <w:r w:rsidR="00C64423">
        <w:rPr>
          <w:rFonts w:cstheme="minorHAnsi"/>
        </w:rPr>
        <w:t>y contrast</w:t>
      </w:r>
      <w:r w:rsidR="00BF4F23">
        <w:rPr>
          <w:rFonts w:cstheme="minorHAnsi"/>
        </w:rPr>
        <w:t xml:space="preserve"> to doxastic states</w:t>
      </w:r>
      <w:r w:rsidR="00C64423">
        <w:rPr>
          <w:rFonts w:cstheme="minorHAnsi"/>
        </w:rPr>
        <w:t xml:space="preserve">, </w:t>
      </w:r>
      <w:r>
        <w:rPr>
          <w:rFonts w:cstheme="minorHAnsi"/>
        </w:rPr>
        <w:t xml:space="preserve">when it comes to </w:t>
      </w:r>
      <w:r w:rsidR="00BF4F23">
        <w:rPr>
          <w:rFonts w:cstheme="minorHAnsi"/>
        </w:rPr>
        <w:t xml:space="preserve">assumptions and </w:t>
      </w:r>
      <w:r w:rsidR="00C64423">
        <w:rPr>
          <w:rFonts w:cstheme="minorHAnsi"/>
        </w:rPr>
        <w:t xml:space="preserve">acting on </w:t>
      </w:r>
      <w:r>
        <w:rPr>
          <w:rFonts w:cstheme="minorHAnsi"/>
        </w:rPr>
        <w:t xml:space="preserve">assumptions, these seem to be under my </w:t>
      </w:r>
      <w:r w:rsidR="00D02A06">
        <w:rPr>
          <w:rFonts w:cstheme="minorHAnsi"/>
        </w:rPr>
        <w:t xml:space="preserve">direct </w:t>
      </w:r>
      <w:r>
        <w:rPr>
          <w:rFonts w:cstheme="minorHAnsi"/>
        </w:rPr>
        <w:t>volun</w:t>
      </w:r>
      <w:r w:rsidR="00877591">
        <w:rPr>
          <w:rFonts w:cstheme="minorHAnsi"/>
        </w:rPr>
        <w:t>tary control. Though I can’t just believe that God exists, I can act on the assumption that God exists</w:t>
      </w:r>
      <w:r w:rsidR="00B7209E">
        <w:rPr>
          <w:rFonts w:cstheme="minorHAnsi"/>
        </w:rPr>
        <w:t xml:space="preserve">. That is, I can </w:t>
      </w:r>
      <w:r w:rsidR="00B7209E" w:rsidRPr="00861ACD">
        <w:rPr>
          <w:rFonts w:eastAsia="AdvPAD0C" w:cstheme="minorHAnsi"/>
        </w:rPr>
        <w:t xml:space="preserve">do those actions which </w:t>
      </w:r>
      <w:r w:rsidR="00B7209E">
        <w:rPr>
          <w:rFonts w:eastAsia="AdvPAD0C" w:cstheme="minorHAnsi"/>
        </w:rPr>
        <w:t>I</w:t>
      </w:r>
      <w:r w:rsidR="00B7209E" w:rsidRPr="00861ACD">
        <w:rPr>
          <w:rFonts w:eastAsia="AdvPAD0C" w:cstheme="minorHAnsi"/>
        </w:rPr>
        <w:t xml:space="preserve"> would do if </w:t>
      </w:r>
      <w:r w:rsidR="00B7209E">
        <w:rPr>
          <w:rFonts w:eastAsia="AdvPAD0C" w:cstheme="minorHAnsi"/>
        </w:rPr>
        <w:t>I</w:t>
      </w:r>
      <w:r w:rsidR="00B7209E" w:rsidRPr="00861ACD">
        <w:rPr>
          <w:rFonts w:eastAsia="AdvPAD0C" w:cstheme="minorHAnsi"/>
        </w:rPr>
        <w:t xml:space="preserve"> believed that </w:t>
      </w:r>
      <w:r w:rsidR="00B7209E">
        <w:rPr>
          <w:rFonts w:eastAsia="AdvPAD0C" w:cstheme="minorHAnsi"/>
        </w:rPr>
        <w:t>God exists</w:t>
      </w:r>
      <w:r w:rsidR="00877591">
        <w:rPr>
          <w:rFonts w:cstheme="minorHAnsi"/>
        </w:rPr>
        <w:t xml:space="preserve">. </w:t>
      </w:r>
      <w:r w:rsidR="00351B64">
        <w:rPr>
          <w:rFonts w:cstheme="minorHAnsi"/>
        </w:rPr>
        <w:t xml:space="preserve">I can’t simply believe that I’m a billionaire, but I could start </w:t>
      </w:r>
      <w:r w:rsidR="00976FE6">
        <w:rPr>
          <w:rFonts w:cstheme="minorHAnsi"/>
        </w:rPr>
        <w:t xml:space="preserve">making </w:t>
      </w:r>
      <w:r w:rsidR="00D02A06">
        <w:rPr>
          <w:rFonts w:cstheme="minorHAnsi"/>
        </w:rPr>
        <w:t xml:space="preserve">financial </w:t>
      </w:r>
      <w:r w:rsidR="00976FE6">
        <w:rPr>
          <w:rFonts w:cstheme="minorHAnsi"/>
        </w:rPr>
        <w:t xml:space="preserve">commitments to people and even </w:t>
      </w:r>
      <w:r w:rsidR="00351B64">
        <w:rPr>
          <w:rFonts w:cstheme="minorHAnsi"/>
        </w:rPr>
        <w:t xml:space="preserve">writing checks for money that I didn’t have. </w:t>
      </w:r>
      <w:r w:rsidR="00B7209E">
        <w:rPr>
          <w:rFonts w:cstheme="minorHAnsi"/>
        </w:rPr>
        <w:t>Even more saliently, i</w:t>
      </w:r>
      <w:r w:rsidR="00570135">
        <w:rPr>
          <w:rFonts w:cstheme="minorHAnsi"/>
        </w:rPr>
        <w:t xml:space="preserve">t seems perfectly possible to believe, with justification, that my friend is unreliable and yet still act on the assumption that he is reliable. </w:t>
      </w:r>
      <w:r w:rsidR="00B7209E">
        <w:rPr>
          <w:rFonts w:cstheme="minorHAnsi"/>
        </w:rPr>
        <w:t xml:space="preserve">Indeed, I can venture trust in a friend who I know will </w:t>
      </w:r>
      <w:r w:rsidR="00D02A06">
        <w:rPr>
          <w:rFonts w:cstheme="minorHAnsi"/>
        </w:rPr>
        <w:t xml:space="preserve">very </w:t>
      </w:r>
      <w:r w:rsidR="00B7209E">
        <w:rPr>
          <w:rFonts w:cstheme="minorHAnsi"/>
        </w:rPr>
        <w:t xml:space="preserve">likely break this trust. </w:t>
      </w:r>
    </w:p>
    <w:p w14:paraId="0069BF0B" w14:textId="1D366F01" w:rsidR="00122497" w:rsidRDefault="00C64423" w:rsidP="00BF1211">
      <w:pPr>
        <w:autoSpaceDE w:val="0"/>
        <w:autoSpaceDN w:val="0"/>
        <w:adjustRightInd w:val="0"/>
        <w:spacing w:line="480" w:lineRule="auto"/>
        <w:ind w:right="-720" w:firstLine="720"/>
        <w:rPr>
          <w:rFonts w:cstheme="minorHAnsi"/>
        </w:rPr>
      </w:pPr>
      <w:r>
        <w:rPr>
          <w:rFonts w:cstheme="minorHAnsi"/>
        </w:rPr>
        <w:t>The upshot of this</w:t>
      </w:r>
      <w:r w:rsidR="00D814F2">
        <w:rPr>
          <w:rFonts w:cstheme="minorHAnsi"/>
        </w:rPr>
        <w:t xml:space="preserve"> feature of</w:t>
      </w:r>
      <w:r>
        <w:rPr>
          <w:rFonts w:cstheme="minorHAnsi"/>
        </w:rPr>
        <w:t xml:space="preserve"> </w:t>
      </w:r>
      <w:r w:rsidR="00122497">
        <w:rPr>
          <w:rFonts w:cstheme="minorHAnsi"/>
        </w:rPr>
        <w:t xml:space="preserve">faith </w:t>
      </w:r>
      <w:r>
        <w:rPr>
          <w:rFonts w:cstheme="minorHAnsi"/>
        </w:rPr>
        <w:t>is</w:t>
      </w:r>
      <w:r w:rsidR="00122497">
        <w:rPr>
          <w:rFonts w:cstheme="minorHAnsi"/>
        </w:rPr>
        <w:t xml:space="preserve"> </w:t>
      </w:r>
      <w:r w:rsidR="00D814F2">
        <w:rPr>
          <w:rFonts w:cstheme="minorHAnsi"/>
        </w:rPr>
        <w:t xml:space="preserve">that it makes faith </w:t>
      </w:r>
      <w:r w:rsidR="00122497">
        <w:rPr>
          <w:rFonts w:cstheme="minorHAnsi"/>
        </w:rPr>
        <w:t xml:space="preserve">morally evaluable. </w:t>
      </w:r>
      <w:r w:rsidR="00C45AFD">
        <w:rPr>
          <w:rFonts w:cstheme="minorHAnsi"/>
        </w:rPr>
        <w:t>A person can</w:t>
      </w:r>
      <w:r w:rsidR="006C5282">
        <w:rPr>
          <w:rFonts w:cstheme="minorHAnsi"/>
        </w:rPr>
        <w:t>, on this view,</w:t>
      </w:r>
      <w:r w:rsidR="00C45AFD">
        <w:rPr>
          <w:rFonts w:cstheme="minorHAnsi"/>
        </w:rPr>
        <w:t xml:space="preserve"> </w:t>
      </w:r>
      <w:r w:rsidR="00B7209E">
        <w:rPr>
          <w:rFonts w:cstheme="minorHAnsi"/>
        </w:rPr>
        <w:t>be</w:t>
      </w:r>
      <w:r w:rsidR="006A2F12">
        <w:rPr>
          <w:rFonts w:cstheme="minorHAnsi"/>
        </w:rPr>
        <w:t xml:space="preserve"> praiseworthy</w:t>
      </w:r>
      <w:r w:rsidR="00C45AFD">
        <w:rPr>
          <w:rFonts w:cstheme="minorHAnsi"/>
        </w:rPr>
        <w:t xml:space="preserve"> or blameworthy for their faith</w:t>
      </w:r>
      <w:r w:rsidR="006A2F12">
        <w:rPr>
          <w:rFonts w:cstheme="minorHAnsi"/>
        </w:rPr>
        <w:t>.</w:t>
      </w:r>
      <w:r w:rsidR="00122497">
        <w:rPr>
          <w:rFonts w:cstheme="minorHAnsi"/>
        </w:rPr>
        <w:t xml:space="preserve"> </w:t>
      </w:r>
      <w:r w:rsidR="007231E6">
        <w:rPr>
          <w:rFonts w:cstheme="minorHAnsi"/>
        </w:rPr>
        <w:t xml:space="preserve">And this seems right. </w:t>
      </w:r>
      <w:r w:rsidR="006C5282">
        <w:rPr>
          <w:rFonts w:cstheme="minorHAnsi"/>
        </w:rPr>
        <w:t xml:space="preserve">Faith can be ventured on those in whom we </w:t>
      </w:r>
      <w:r w:rsidR="006C5282" w:rsidRPr="00D02A06">
        <w:rPr>
          <w:rFonts w:cstheme="minorHAnsi"/>
          <w:i/>
        </w:rPr>
        <w:t>should not</w:t>
      </w:r>
      <w:r w:rsidR="006C5282">
        <w:rPr>
          <w:rFonts w:cstheme="minorHAnsi"/>
        </w:rPr>
        <w:t xml:space="preserve"> place our faith. </w:t>
      </w:r>
      <w:r w:rsidR="00D02A06">
        <w:rPr>
          <w:rFonts w:cstheme="minorHAnsi"/>
        </w:rPr>
        <w:t>And w</w:t>
      </w:r>
      <w:r w:rsidR="006C5282">
        <w:rPr>
          <w:rFonts w:cstheme="minorHAnsi"/>
        </w:rPr>
        <w:t xml:space="preserve">e do something wrong when we fail to trust those who are worthy of faith. </w:t>
      </w:r>
      <w:r w:rsidR="00122497">
        <w:rPr>
          <w:rFonts w:cstheme="minorHAnsi"/>
        </w:rPr>
        <w:t>Jesus</w:t>
      </w:r>
      <w:r w:rsidR="00C45AFD">
        <w:rPr>
          <w:rFonts w:cstheme="minorHAnsi"/>
        </w:rPr>
        <w:t>, in fact,</w:t>
      </w:r>
      <w:r w:rsidR="00122497">
        <w:rPr>
          <w:rFonts w:cstheme="minorHAnsi"/>
        </w:rPr>
        <w:t xml:space="preserve"> chides his disciples</w:t>
      </w:r>
      <w:r w:rsidR="006A2F12">
        <w:rPr>
          <w:rFonts w:cstheme="minorHAnsi"/>
        </w:rPr>
        <w:t xml:space="preserve"> </w:t>
      </w:r>
      <w:r w:rsidR="00122497">
        <w:rPr>
          <w:rFonts w:cstheme="minorHAnsi"/>
        </w:rPr>
        <w:t xml:space="preserve">for being “of little faith” (Matt. 8:26). </w:t>
      </w:r>
      <w:r w:rsidR="006C5282">
        <w:rPr>
          <w:rFonts w:cstheme="minorHAnsi"/>
        </w:rPr>
        <w:t xml:space="preserve">I take it the point here is that Jesus had demonstrated his worthiness and the disciples should have ventured their trusted in him. </w:t>
      </w:r>
      <w:r w:rsidR="002D3CC7">
        <w:rPr>
          <w:rFonts w:cstheme="minorHAnsi"/>
        </w:rPr>
        <w:t>He also</w:t>
      </w:r>
      <w:r w:rsidR="00D02A06">
        <w:rPr>
          <w:rFonts w:cstheme="minorHAnsi"/>
        </w:rPr>
        <w:t>, at other times,</w:t>
      </w:r>
      <w:r w:rsidR="002D3CC7">
        <w:rPr>
          <w:rFonts w:cstheme="minorHAnsi"/>
        </w:rPr>
        <w:t xml:space="preserve"> specifically</w:t>
      </w:r>
      <w:r w:rsidR="00122497">
        <w:rPr>
          <w:rFonts w:cstheme="minorHAnsi"/>
        </w:rPr>
        <w:t xml:space="preserve"> praises </w:t>
      </w:r>
      <w:r w:rsidR="002D3CC7">
        <w:rPr>
          <w:rFonts w:cstheme="minorHAnsi"/>
        </w:rPr>
        <w:t>people for having great faith</w:t>
      </w:r>
      <w:r w:rsidR="004B7F89">
        <w:rPr>
          <w:rFonts w:cstheme="minorHAnsi"/>
        </w:rPr>
        <w:t>.</w:t>
      </w:r>
      <w:r w:rsidR="007231E6">
        <w:rPr>
          <w:rStyle w:val="FootnoteReference"/>
          <w:rFonts w:cstheme="minorHAnsi"/>
        </w:rPr>
        <w:footnoteReference w:id="19"/>
      </w:r>
    </w:p>
    <w:p w14:paraId="1CEC9383" w14:textId="4118982F" w:rsidR="007A5DA7" w:rsidRPr="007A5DA7" w:rsidRDefault="007A5DA7" w:rsidP="007A5DA7">
      <w:pPr>
        <w:autoSpaceDE w:val="0"/>
        <w:autoSpaceDN w:val="0"/>
        <w:adjustRightInd w:val="0"/>
        <w:spacing w:line="480" w:lineRule="auto"/>
        <w:ind w:right="-720"/>
        <w:rPr>
          <w:rFonts w:cstheme="minorHAnsi"/>
          <w:b/>
        </w:rPr>
      </w:pPr>
      <w:r w:rsidRPr="007A5DA7">
        <w:rPr>
          <w:rFonts w:cstheme="minorHAnsi"/>
          <w:b/>
        </w:rPr>
        <w:t xml:space="preserve">Faith </w:t>
      </w:r>
      <w:r w:rsidR="00D814F2">
        <w:rPr>
          <w:rFonts w:cstheme="minorHAnsi"/>
          <w:b/>
        </w:rPr>
        <w:t>in the Contexts of Relationships</w:t>
      </w:r>
    </w:p>
    <w:p w14:paraId="0642A043" w14:textId="039C8121" w:rsidR="0096454B" w:rsidRPr="007E5564" w:rsidRDefault="00D02A06" w:rsidP="00C63C8C">
      <w:pPr>
        <w:autoSpaceDE w:val="0"/>
        <w:autoSpaceDN w:val="0"/>
        <w:adjustRightInd w:val="0"/>
        <w:spacing w:line="480" w:lineRule="auto"/>
        <w:ind w:right="-720" w:firstLine="720"/>
        <w:rPr>
          <w:rFonts w:cstheme="minorHAnsi"/>
        </w:rPr>
      </w:pPr>
      <w:r>
        <w:rPr>
          <w:rFonts w:cstheme="minorHAnsi"/>
        </w:rPr>
        <w:t>Again, we are focused on faith in the contexts of relationships. Though w</w:t>
      </w:r>
      <w:r w:rsidR="00143EDD">
        <w:rPr>
          <w:rFonts w:cstheme="minorHAnsi"/>
        </w:rPr>
        <w:t xml:space="preserve">e can have </w:t>
      </w:r>
      <w:r w:rsidR="00C45AFD">
        <w:rPr>
          <w:rFonts w:cstheme="minorHAnsi"/>
        </w:rPr>
        <w:t xml:space="preserve">a kind of relational </w:t>
      </w:r>
      <w:r w:rsidR="00143EDD">
        <w:rPr>
          <w:rFonts w:cstheme="minorHAnsi"/>
        </w:rPr>
        <w:t xml:space="preserve">faith </w:t>
      </w:r>
      <w:r w:rsidR="00C45AFD">
        <w:rPr>
          <w:rFonts w:cstheme="minorHAnsi"/>
        </w:rPr>
        <w:t>expressed towards</w:t>
      </w:r>
      <w:r w:rsidR="00143EDD">
        <w:rPr>
          <w:rFonts w:cstheme="minorHAnsi"/>
        </w:rPr>
        <w:t xml:space="preserve"> </w:t>
      </w:r>
      <w:r w:rsidR="0096454B" w:rsidRPr="007E5564">
        <w:rPr>
          <w:rFonts w:cstheme="minorHAnsi"/>
        </w:rPr>
        <w:t>objects</w:t>
      </w:r>
      <w:r w:rsidR="00C45AFD">
        <w:rPr>
          <w:rFonts w:cstheme="minorHAnsi"/>
        </w:rPr>
        <w:t>,</w:t>
      </w:r>
      <w:r w:rsidR="0096454B" w:rsidRPr="007E5564">
        <w:rPr>
          <w:rFonts w:cstheme="minorHAnsi"/>
        </w:rPr>
        <w:t xml:space="preserve"> such as cars and chairs and bridges</w:t>
      </w:r>
      <w:r>
        <w:rPr>
          <w:rFonts w:cstheme="minorHAnsi"/>
        </w:rPr>
        <w:t xml:space="preserve">, </w:t>
      </w:r>
      <w:r w:rsidR="00143EDD">
        <w:rPr>
          <w:rFonts w:cstheme="minorHAnsi"/>
        </w:rPr>
        <w:t>these</w:t>
      </w:r>
      <w:r w:rsidR="0096454B" w:rsidRPr="007E5564">
        <w:rPr>
          <w:rFonts w:cstheme="minorHAnsi"/>
        </w:rPr>
        <w:t xml:space="preserve"> </w:t>
      </w:r>
      <w:r w:rsidR="00FA1131">
        <w:rPr>
          <w:rFonts w:cstheme="minorHAnsi"/>
        </w:rPr>
        <w:t>are</w:t>
      </w:r>
      <w:r w:rsidR="0096454B" w:rsidRPr="007E5564">
        <w:rPr>
          <w:rFonts w:cstheme="minorHAnsi"/>
        </w:rPr>
        <w:t xml:space="preserve"> importantly different from</w:t>
      </w:r>
      <w:r w:rsidR="00BD06D4">
        <w:rPr>
          <w:rFonts w:cstheme="minorHAnsi"/>
        </w:rPr>
        <w:t xml:space="preserve"> </w:t>
      </w:r>
      <w:r w:rsidR="00C63C8C">
        <w:rPr>
          <w:rFonts w:cstheme="minorHAnsi"/>
        </w:rPr>
        <w:t xml:space="preserve">the </w:t>
      </w:r>
      <w:r w:rsidR="0096454B" w:rsidRPr="007E5564">
        <w:rPr>
          <w:rFonts w:cstheme="minorHAnsi"/>
        </w:rPr>
        <w:t>faith</w:t>
      </w:r>
      <w:r w:rsidR="00C63C8C">
        <w:rPr>
          <w:rFonts w:cstheme="minorHAnsi"/>
        </w:rPr>
        <w:t xml:space="preserve"> in the context of relationships</w:t>
      </w:r>
      <w:r w:rsidR="00C45AFD">
        <w:rPr>
          <w:rFonts w:cstheme="minorHAnsi"/>
        </w:rPr>
        <w:t xml:space="preserve"> between people</w:t>
      </w:r>
      <w:r w:rsidR="0096454B" w:rsidRPr="007E5564">
        <w:rPr>
          <w:rFonts w:cstheme="minorHAnsi"/>
        </w:rPr>
        <w:t xml:space="preserve">. </w:t>
      </w:r>
      <w:r w:rsidR="00143EDD">
        <w:rPr>
          <w:rFonts w:cstheme="minorHAnsi"/>
        </w:rPr>
        <w:t xml:space="preserve">I may love my chair, but </w:t>
      </w:r>
      <w:r w:rsidR="0096454B" w:rsidRPr="007E5564">
        <w:rPr>
          <w:rFonts w:cstheme="minorHAnsi"/>
        </w:rPr>
        <w:t xml:space="preserve">I </w:t>
      </w:r>
      <w:r w:rsidR="002E5B98">
        <w:rPr>
          <w:rFonts w:cstheme="minorHAnsi"/>
        </w:rPr>
        <w:t xml:space="preserve">of course </w:t>
      </w:r>
      <w:r w:rsidR="0096454B" w:rsidRPr="007E5564">
        <w:rPr>
          <w:rFonts w:cstheme="minorHAnsi"/>
        </w:rPr>
        <w:t>don</w:t>
      </w:r>
      <w:r w:rsidR="0096454B" w:rsidRPr="007E5564">
        <w:rPr>
          <w:rFonts w:eastAsia="Times New Roman" w:cstheme="minorHAnsi"/>
        </w:rPr>
        <w:t xml:space="preserve">’t have a relationship with </w:t>
      </w:r>
      <w:r w:rsidR="00143EDD">
        <w:rPr>
          <w:rFonts w:eastAsia="Times New Roman" w:cstheme="minorHAnsi"/>
        </w:rPr>
        <w:t>it</w:t>
      </w:r>
      <w:r w:rsidR="00C63C8C">
        <w:rPr>
          <w:rFonts w:eastAsia="Times New Roman" w:cstheme="minorHAnsi"/>
        </w:rPr>
        <w:t xml:space="preserve"> </w:t>
      </w:r>
      <w:r>
        <w:rPr>
          <w:rFonts w:eastAsia="Times New Roman" w:cstheme="minorHAnsi"/>
        </w:rPr>
        <w:t xml:space="preserve">(let’s hope!) </w:t>
      </w:r>
      <w:r w:rsidR="00C63C8C">
        <w:rPr>
          <w:rFonts w:eastAsia="Times New Roman" w:cstheme="minorHAnsi"/>
        </w:rPr>
        <w:t>like I do with one of my children</w:t>
      </w:r>
      <w:r w:rsidR="0096454B" w:rsidRPr="007E5564">
        <w:rPr>
          <w:rFonts w:eastAsia="Times New Roman" w:cstheme="minorHAnsi"/>
        </w:rPr>
        <w:t>.</w:t>
      </w:r>
      <w:r w:rsidR="002E5B98">
        <w:rPr>
          <w:rFonts w:eastAsia="Times New Roman" w:cstheme="minorHAnsi"/>
        </w:rPr>
        <w:t xml:space="preserve"> This </w:t>
      </w:r>
      <w:r w:rsidR="00C63C8C">
        <w:rPr>
          <w:rFonts w:eastAsia="Times New Roman" w:cstheme="minorHAnsi"/>
        </w:rPr>
        <w:t xml:space="preserve">is </w:t>
      </w:r>
      <w:r w:rsidR="002E5B98">
        <w:rPr>
          <w:rFonts w:eastAsia="Times New Roman" w:cstheme="minorHAnsi"/>
        </w:rPr>
        <w:t xml:space="preserve">because any (perhaps quasi) relational features </w:t>
      </w:r>
      <w:r w:rsidR="00C63C8C">
        <w:rPr>
          <w:rFonts w:eastAsia="Times New Roman" w:cstheme="minorHAnsi"/>
        </w:rPr>
        <w:t xml:space="preserve">goes </w:t>
      </w:r>
      <w:r w:rsidR="00C45AFD">
        <w:rPr>
          <w:rFonts w:eastAsia="Times New Roman" w:cstheme="minorHAnsi"/>
        </w:rPr>
        <w:t xml:space="preserve">only </w:t>
      </w:r>
      <w:r w:rsidR="00C63C8C">
        <w:rPr>
          <w:rFonts w:eastAsia="Times New Roman" w:cstheme="minorHAnsi"/>
        </w:rPr>
        <w:t>in</w:t>
      </w:r>
      <w:r w:rsidR="002E5B98">
        <w:rPr>
          <w:rFonts w:eastAsia="Times New Roman" w:cstheme="minorHAnsi"/>
        </w:rPr>
        <w:t xml:space="preserve"> one direction. However, in a relationship of persons</w:t>
      </w:r>
      <w:r w:rsidR="0047552B">
        <w:rPr>
          <w:rFonts w:eastAsia="Times New Roman" w:cstheme="minorHAnsi"/>
        </w:rPr>
        <w:t>,</w:t>
      </w:r>
      <w:r w:rsidR="00FA1131">
        <w:rPr>
          <w:rFonts w:eastAsia="Times New Roman" w:cstheme="minorHAnsi"/>
        </w:rPr>
        <w:t xml:space="preserve"> as </w:t>
      </w:r>
      <w:r w:rsidR="00FA1131">
        <w:rPr>
          <w:rFonts w:eastAsia="Times New Roman" w:cstheme="minorHAnsi"/>
        </w:rPr>
        <w:lastRenderedPageBreak/>
        <w:t>I’m thinking about it</w:t>
      </w:r>
      <w:r w:rsidR="002E5B98">
        <w:rPr>
          <w:rFonts w:eastAsia="Times New Roman" w:cstheme="minorHAnsi"/>
        </w:rPr>
        <w:t>, there is always the mutual give and take.</w:t>
      </w:r>
      <w:r>
        <w:rPr>
          <w:rStyle w:val="FootnoteReference"/>
          <w:rFonts w:eastAsia="Times New Roman" w:cstheme="minorHAnsi"/>
        </w:rPr>
        <w:footnoteReference w:id="20"/>
      </w:r>
      <w:r w:rsidR="0096454B" w:rsidRPr="007E5564">
        <w:rPr>
          <w:rFonts w:eastAsia="Times New Roman" w:cstheme="minorHAnsi"/>
        </w:rPr>
        <w:t xml:space="preserve"> </w:t>
      </w:r>
      <w:r w:rsidR="002E5B98">
        <w:rPr>
          <w:rFonts w:eastAsia="Times New Roman" w:cstheme="minorHAnsi"/>
        </w:rPr>
        <w:t>In addition to this</w:t>
      </w:r>
      <w:r w:rsidR="0096454B" w:rsidRPr="007E5564">
        <w:rPr>
          <w:rFonts w:eastAsia="Times New Roman" w:cstheme="minorHAnsi"/>
        </w:rPr>
        <w:t xml:space="preserve">, </w:t>
      </w:r>
      <w:r w:rsidR="0025416E">
        <w:rPr>
          <w:rFonts w:eastAsia="Times New Roman" w:cstheme="minorHAnsi"/>
        </w:rPr>
        <w:t xml:space="preserve">the trust </w:t>
      </w:r>
      <w:r>
        <w:rPr>
          <w:rFonts w:eastAsia="Times New Roman" w:cstheme="minorHAnsi"/>
        </w:rPr>
        <w:t xml:space="preserve">of objects </w:t>
      </w:r>
      <w:r w:rsidR="0025416E">
        <w:rPr>
          <w:rFonts w:eastAsia="Times New Roman" w:cstheme="minorHAnsi"/>
        </w:rPr>
        <w:t>seems to only involve the</w:t>
      </w:r>
      <w:r w:rsidR="002E5B98">
        <w:rPr>
          <w:rFonts w:eastAsia="Times New Roman" w:cstheme="minorHAnsi"/>
        </w:rPr>
        <w:t xml:space="preserve"> mere </w:t>
      </w:r>
      <w:r w:rsidR="0096454B" w:rsidRPr="007E5564">
        <w:rPr>
          <w:rFonts w:eastAsia="Times New Roman" w:cstheme="minorHAnsi"/>
        </w:rPr>
        <w:t>function</w:t>
      </w:r>
      <w:r w:rsidR="0025416E">
        <w:rPr>
          <w:rFonts w:eastAsia="Times New Roman" w:cstheme="minorHAnsi"/>
        </w:rPr>
        <w:t>ing</w:t>
      </w:r>
      <w:r w:rsidR="0096454B" w:rsidRPr="007E5564">
        <w:rPr>
          <w:rFonts w:eastAsia="Times New Roman" w:cstheme="minorHAnsi"/>
        </w:rPr>
        <w:t xml:space="preserve"> or performance </w:t>
      </w:r>
      <w:r w:rsidR="002E1658">
        <w:rPr>
          <w:rFonts w:eastAsia="Times New Roman" w:cstheme="minorHAnsi"/>
        </w:rPr>
        <w:t xml:space="preserve">of </w:t>
      </w:r>
      <w:r>
        <w:rPr>
          <w:rFonts w:eastAsia="Times New Roman" w:cstheme="minorHAnsi"/>
        </w:rPr>
        <w:t>the</w:t>
      </w:r>
      <w:r w:rsidR="0025416E">
        <w:rPr>
          <w:rFonts w:eastAsia="Times New Roman" w:cstheme="minorHAnsi"/>
        </w:rPr>
        <w:t xml:space="preserve"> </w:t>
      </w:r>
      <w:r w:rsidR="002E5B98">
        <w:rPr>
          <w:rFonts w:eastAsia="Times New Roman" w:cstheme="minorHAnsi"/>
        </w:rPr>
        <w:t>object</w:t>
      </w:r>
      <w:r w:rsidR="0096454B" w:rsidRPr="007E5564">
        <w:rPr>
          <w:rFonts w:eastAsia="Times New Roman" w:cstheme="minorHAnsi"/>
        </w:rPr>
        <w:t xml:space="preserve">. There seems to be nothing more to </w:t>
      </w:r>
      <w:r w:rsidR="00C63C8C">
        <w:rPr>
          <w:rFonts w:eastAsia="Times New Roman" w:cstheme="minorHAnsi"/>
        </w:rPr>
        <w:t>these sorts of acts of faith</w:t>
      </w:r>
      <w:r w:rsidR="0096454B" w:rsidRPr="007E5564">
        <w:rPr>
          <w:rFonts w:eastAsia="Times New Roman" w:cstheme="minorHAnsi"/>
        </w:rPr>
        <w:t xml:space="preserve"> than trusting the object to the degree to which the object will perform </w:t>
      </w:r>
      <w:r w:rsidR="000902FC">
        <w:rPr>
          <w:rFonts w:eastAsia="Times New Roman" w:cstheme="minorHAnsi"/>
        </w:rPr>
        <w:t>a task</w:t>
      </w:r>
      <w:r w:rsidR="00BD06D4">
        <w:rPr>
          <w:rFonts w:eastAsia="Times New Roman" w:cstheme="minorHAnsi"/>
        </w:rPr>
        <w:t>.</w:t>
      </w:r>
      <w:r w:rsidR="0096454B" w:rsidRPr="007E5564">
        <w:rPr>
          <w:rFonts w:eastAsia="Times New Roman" w:cstheme="minorHAnsi"/>
        </w:rPr>
        <w:t xml:space="preserve"> </w:t>
      </w:r>
      <w:r w:rsidR="00BD06D4">
        <w:rPr>
          <w:rFonts w:eastAsia="Times New Roman" w:cstheme="minorHAnsi"/>
        </w:rPr>
        <w:t>W</w:t>
      </w:r>
      <w:r w:rsidR="0096454B" w:rsidRPr="007E5564">
        <w:rPr>
          <w:rFonts w:eastAsia="Times New Roman" w:cstheme="minorHAnsi"/>
        </w:rPr>
        <w:t xml:space="preserve">hereas faith in the context of a genuine relationship may not involve a specific performance or a specific task. It makes sense </w:t>
      </w:r>
      <w:r w:rsidR="0096454B" w:rsidRPr="007E5564">
        <w:rPr>
          <w:rFonts w:cstheme="minorHAnsi"/>
        </w:rPr>
        <w:t xml:space="preserve">to say </w:t>
      </w:r>
      <w:r w:rsidR="0096454B" w:rsidRPr="007E5564">
        <w:rPr>
          <w:rFonts w:eastAsia="Times New Roman" w:cstheme="minorHAnsi"/>
        </w:rPr>
        <w:t>“</w:t>
      </w:r>
      <w:r w:rsidR="00BD06D4">
        <w:rPr>
          <w:rFonts w:eastAsia="Times New Roman" w:cstheme="minorHAnsi"/>
        </w:rPr>
        <w:t>Tom</w:t>
      </w:r>
      <w:r w:rsidR="0096454B" w:rsidRPr="007E5564">
        <w:rPr>
          <w:rFonts w:eastAsia="Times New Roman" w:cstheme="minorHAnsi"/>
        </w:rPr>
        <w:t xml:space="preserve"> has faith in his wife.” We don’t hear this and ask “for what task?”</w:t>
      </w:r>
      <w:r w:rsidR="00926C1E">
        <w:rPr>
          <w:rFonts w:eastAsia="Times New Roman" w:cstheme="minorHAnsi"/>
        </w:rPr>
        <w:t xml:space="preserve"> (at least, not without getting smacked by Tom’s wife).</w:t>
      </w:r>
      <w:r w:rsidR="0096454B" w:rsidRPr="007E5564">
        <w:rPr>
          <w:rFonts w:eastAsia="Times New Roman" w:cstheme="minorHAnsi"/>
        </w:rPr>
        <w:t xml:space="preserve"> </w:t>
      </w:r>
      <w:r w:rsidR="00A06CCC">
        <w:rPr>
          <w:rFonts w:eastAsia="Times New Roman" w:cstheme="minorHAnsi"/>
        </w:rPr>
        <w:t xml:space="preserve">Faith, in the context of a </w:t>
      </w:r>
      <w:r w:rsidR="002E1658">
        <w:rPr>
          <w:rFonts w:eastAsia="Times New Roman" w:cstheme="minorHAnsi"/>
        </w:rPr>
        <w:t>marriage</w:t>
      </w:r>
      <w:r w:rsidR="00A06CCC">
        <w:rPr>
          <w:rFonts w:eastAsia="Times New Roman" w:cstheme="minorHAnsi"/>
        </w:rPr>
        <w:t>,</w:t>
      </w:r>
      <w:r w:rsidR="0096454B" w:rsidRPr="007E5564">
        <w:rPr>
          <w:rFonts w:eastAsia="Times New Roman" w:cstheme="minorHAnsi"/>
        </w:rPr>
        <w:t xml:space="preserve"> </w:t>
      </w:r>
      <w:r w:rsidR="002E1658">
        <w:rPr>
          <w:rFonts w:eastAsia="Times New Roman" w:cstheme="minorHAnsi"/>
        </w:rPr>
        <w:t>should be</w:t>
      </w:r>
      <w:r w:rsidR="0096454B" w:rsidRPr="007E5564">
        <w:rPr>
          <w:rFonts w:eastAsia="Times New Roman" w:cstheme="minorHAnsi"/>
        </w:rPr>
        <w:t xml:space="preserve"> a general and an abiding state</w:t>
      </w:r>
      <w:r w:rsidR="005B4A96">
        <w:rPr>
          <w:rFonts w:eastAsia="Times New Roman" w:cstheme="minorHAnsi"/>
        </w:rPr>
        <w:t xml:space="preserve"> directed at the wellbeing of one’s spouse</w:t>
      </w:r>
      <w:r w:rsidR="00C63C8C">
        <w:rPr>
          <w:rFonts w:eastAsia="Times New Roman" w:cstheme="minorHAnsi"/>
        </w:rPr>
        <w:t xml:space="preserve"> expressed</w:t>
      </w:r>
      <w:r w:rsidR="0096454B" w:rsidRPr="007E5564">
        <w:rPr>
          <w:rFonts w:eastAsia="Times New Roman" w:cstheme="minorHAnsi"/>
        </w:rPr>
        <w:t xml:space="preserve"> in an indefinite </w:t>
      </w:r>
      <w:r w:rsidR="007114C4">
        <w:rPr>
          <w:rFonts w:eastAsia="Times New Roman" w:cstheme="minorHAnsi"/>
        </w:rPr>
        <w:t xml:space="preserve">and in </w:t>
      </w:r>
      <w:r w:rsidR="002C33D3">
        <w:rPr>
          <w:rFonts w:eastAsia="Times New Roman" w:cstheme="minorHAnsi"/>
        </w:rPr>
        <w:t>often</w:t>
      </w:r>
      <w:r w:rsidR="007114C4">
        <w:rPr>
          <w:rFonts w:eastAsia="Times New Roman" w:cstheme="minorHAnsi"/>
        </w:rPr>
        <w:t xml:space="preserve"> unexpected</w:t>
      </w:r>
      <w:r w:rsidR="0096454B" w:rsidRPr="007E5564">
        <w:rPr>
          <w:rFonts w:eastAsia="Times New Roman" w:cstheme="minorHAnsi"/>
        </w:rPr>
        <w:t xml:space="preserve"> ways. </w:t>
      </w:r>
    </w:p>
    <w:p w14:paraId="4D064B6F" w14:textId="009047AB" w:rsidR="0096454B" w:rsidRDefault="00A06CCC" w:rsidP="00363349">
      <w:pPr>
        <w:autoSpaceDE w:val="0"/>
        <w:autoSpaceDN w:val="0"/>
        <w:adjustRightInd w:val="0"/>
        <w:spacing w:line="480" w:lineRule="auto"/>
        <w:ind w:right="-720" w:firstLine="720"/>
        <w:rPr>
          <w:rFonts w:eastAsia="Times New Roman" w:cstheme="minorHAnsi"/>
        </w:rPr>
      </w:pPr>
      <w:r>
        <w:rPr>
          <w:rFonts w:cstheme="minorHAnsi"/>
        </w:rPr>
        <w:t>As has been emphasized above, f</w:t>
      </w:r>
      <w:r w:rsidR="009C395C">
        <w:rPr>
          <w:rFonts w:cstheme="minorHAnsi"/>
        </w:rPr>
        <w:t xml:space="preserve">aith is this very active thing </w:t>
      </w:r>
      <w:r w:rsidR="00E91DDC">
        <w:rPr>
          <w:rFonts w:cstheme="minorHAnsi"/>
        </w:rPr>
        <w:t>where we venture ourselves and our wellbeing on another</w:t>
      </w:r>
      <w:r>
        <w:rPr>
          <w:rFonts w:cstheme="minorHAnsi"/>
        </w:rPr>
        <w:t>. W</w:t>
      </w:r>
      <w:r w:rsidR="00593379">
        <w:rPr>
          <w:rFonts w:cstheme="minorHAnsi"/>
        </w:rPr>
        <w:t>e do take something of a leap</w:t>
      </w:r>
      <w:r w:rsidR="00E91DDC">
        <w:rPr>
          <w:rFonts w:cstheme="minorHAnsi"/>
        </w:rPr>
        <w:t xml:space="preserve"> in any significant relationship</w:t>
      </w:r>
      <w:r w:rsidR="00593379">
        <w:rPr>
          <w:rFonts w:cstheme="minorHAnsi"/>
        </w:rPr>
        <w:t xml:space="preserve">. </w:t>
      </w:r>
      <w:r>
        <w:rPr>
          <w:rFonts w:cstheme="minorHAnsi"/>
        </w:rPr>
        <w:t xml:space="preserve">But </w:t>
      </w:r>
      <w:r w:rsidR="002E1658">
        <w:rPr>
          <w:rFonts w:cstheme="minorHAnsi"/>
        </w:rPr>
        <w:t xml:space="preserve">it’s important to emphasize that </w:t>
      </w:r>
      <w:r>
        <w:rPr>
          <w:rFonts w:cstheme="minorHAnsi"/>
        </w:rPr>
        <w:t xml:space="preserve">we ought to leap in ways appropriate to the relationship. </w:t>
      </w:r>
      <w:r w:rsidR="0096454B" w:rsidRPr="007E5564">
        <w:rPr>
          <w:rFonts w:eastAsia="Times New Roman" w:cstheme="minorHAnsi"/>
        </w:rPr>
        <w:t>I venture on my wife in a host of ways</w:t>
      </w:r>
      <w:r w:rsidR="00D814F2">
        <w:rPr>
          <w:rFonts w:eastAsia="Times New Roman" w:cstheme="minorHAnsi"/>
        </w:rPr>
        <w:t>. In fact, m</w:t>
      </w:r>
      <w:r>
        <w:rPr>
          <w:rFonts w:eastAsia="Times New Roman" w:cstheme="minorHAnsi"/>
        </w:rPr>
        <w:t xml:space="preserve">uch of my wellbeing turns on </w:t>
      </w:r>
      <w:r w:rsidR="002E1658">
        <w:rPr>
          <w:rFonts w:eastAsia="Times New Roman" w:cstheme="minorHAnsi"/>
        </w:rPr>
        <w:t xml:space="preserve">the </w:t>
      </w:r>
      <w:r w:rsidR="005B4A96">
        <w:rPr>
          <w:rFonts w:eastAsia="Times New Roman" w:cstheme="minorHAnsi"/>
        </w:rPr>
        <w:t>condition</w:t>
      </w:r>
      <w:r w:rsidR="002E1658">
        <w:rPr>
          <w:rFonts w:eastAsia="Times New Roman" w:cstheme="minorHAnsi"/>
        </w:rPr>
        <w:t xml:space="preserve"> of our</w:t>
      </w:r>
      <w:r>
        <w:rPr>
          <w:rFonts w:eastAsia="Times New Roman" w:cstheme="minorHAnsi"/>
        </w:rPr>
        <w:t xml:space="preserve"> relationship. But this is </w:t>
      </w:r>
      <w:r w:rsidR="009C395C">
        <w:rPr>
          <w:rFonts w:eastAsia="Times New Roman" w:cstheme="minorHAnsi"/>
        </w:rPr>
        <w:t xml:space="preserve">appropriate </w:t>
      </w:r>
      <w:r>
        <w:rPr>
          <w:rFonts w:eastAsia="Times New Roman" w:cstheme="minorHAnsi"/>
        </w:rPr>
        <w:t>in the context of a marriage</w:t>
      </w:r>
      <w:r w:rsidR="009C395C">
        <w:rPr>
          <w:rFonts w:eastAsia="Times New Roman" w:cstheme="minorHAnsi"/>
        </w:rPr>
        <w:t xml:space="preserve">. </w:t>
      </w:r>
      <w:r>
        <w:rPr>
          <w:rFonts w:eastAsia="Times New Roman" w:cstheme="minorHAnsi"/>
        </w:rPr>
        <w:t xml:space="preserve">It would be wildly inappropriate to </w:t>
      </w:r>
      <w:r w:rsidR="009C395C">
        <w:rPr>
          <w:rFonts w:eastAsia="Times New Roman" w:cstheme="minorHAnsi"/>
        </w:rPr>
        <w:t xml:space="preserve">venture on my </w:t>
      </w:r>
      <w:r>
        <w:rPr>
          <w:rFonts w:eastAsia="Times New Roman" w:cstheme="minorHAnsi"/>
        </w:rPr>
        <w:t>work</w:t>
      </w:r>
      <w:r w:rsidR="009C395C">
        <w:rPr>
          <w:rFonts w:eastAsia="Times New Roman" w:cstheme="minorHAnsi"/>
        </w:rPr>
        <w:t xml:space="preserve"> colleagues in </w:t>
      </w:r>
      <w:r>
        <w:rPr>
          <w:rFonts w:eastAsia="Times New Roman" w:cstheme="minorHAnsi"/>
        </w:rPr>
        <w:t xml:space="preserve">the same </w:t>
      </w:r>
      <w:r w:rsidR="009C395C">
        <w:rPr>
          <w:rFonts w:eastAsia="Times New Roman" w:cstheme="minorHAnsi"/>
        </w:rPr>
        <w:t>way</w:t>
      </w:r>
      <w:r>
        <w:rPr>
          <w:rFonts w:eastAsia="Times New Roman" w:cstheme="minorHAnsi"/>
        </w:rPr>
        <w:t>s. I shouldn’t, for e</w:t>
      </w:r>
      <w:r w:rsidR="00363349">
        <w:rPr>
          <w:rFonts w:eastAsia="Times New Roman" w:cstheme="minorHAnsi"/>
        </w:rPr>
        <w:t xml:space="preserve">xample, join my finances with </w:t>
      </w:r>
      <w:r w:rsidR="00D814F2">
        <w:rPr>
          <w:rFonts w:eastAsia="Times New Roman" w:cstheme="minorHAnsi"/>
        </w:rPr>
        <w:t xml:space="preserve">one of my </w:t>
      </w:r>
      <w:r>
        <w:rPr>
          <w:rFonts w:eastAsia="Times New Roman" w:cstheme="minorHAnsi"/>
        </w:rPr>
        <w:t>fellow philosophy department member</w:t>
      </w:r>
      <w:r w:rsidR="00363349">
        <w:rPr>
          <w:rFonts w:eastAsia="Times New Roman" w:cstheme="minorHAnsi"/>
        </w:rPr>
        <w:t>s</w:t>
      </w:r>
      <w:r w:rsidR="002E1658">
        <w:rPr>
          <w:rFonts w:eastAsia="Times New Roman" w:cstheme="minorHAnsi"/>
        </w:rPr>
        <w:t xml:space="preserve"> and provide for all their needs as best I can</w:t>
      </w:r>
      <w:r>
        <w:rPr>
          <w:rFonts w:eastAsia="Times New Roman" w:cstheme="minorHAnsi"/>
        </w:rPr>
        <w:t xml:space="preserve">. </w:t>
      </w:r>
      <w:r w:rsidR="00363349">
        <w:rPr>
          <w:rFonts w:eastAsia="Times New Roman" w:cstheme="minorHAnsi"/>
        </w:rPr>
        <w:t xml:space="preserve">This is not the kind of relationship we have. </w:t>
      </w:r>
      <w:r>
        <w:rPr>
          <w:rFonts w:eastAsia="Times New Roman" w:cstheme="minorHAnsi"/>
        </w:rPr>
        <w:t xml:space="preserve">But there are ways I </w:t>
      </w:r>
      <w:r w:rsidR="002E1658">
        <w:rPr>
          <w:rFonts w:eastAsia="Times New Roman" w:cstheme="minorHAnsi"/>
        </w:rPr>
        <w:t>do</w:t>
      </w:r>
      <w:r>
        <w:rPr>
          <w:rFonts w:eastAsia="Times New Roman" w:cstheme="minorHAnsi"/>
        </w:rPr>
        <w:t xml:space="preserve"> venture on them </w:t>
      </w:r>
      <w:r w:rsidR="002E1658">
        <w:rPr>
          <w:rFonts w:eastAsia="Times New Roman" w:cstheme="minorHAnsi"/>
        </w:rPr>
        <w:t xml:space="preserve">appropriate to the relationship </w:t>
      </w:r>
      <w:r>
        <w:rPr>
          <w:rFonts w:eastAsia="Times New Roman" w:cstheme="minorHAnsi"/>
        </w:rPr>
        <w:t xml:space="preserve">as colleagues and friends. </w:t>
      </w:r>
      <w:r w:rsidR="007114C4">
        <w:rPr>
          <w:rFonts w:eastAsia="Times New Roman" w:cstheme="minorHAnsi"/>
        </w:rPr>
        <w:t xml:space="preserve">And </w:t>
      </w:r>
      <w:r w:rsidR="009C395C">
        <w:rPr>
          <w:rFonts w:eastAsia="Times New Roman" w:cstheme="minorHAnsi"/>
        </w:rPr>
        <w:t xml:space="preserve">of course </w:t>
      </w:r>
      <w:r w:rsidR="007114C4">
        <w:rPr>
          <w:rFonts w:eastAsia="Times New Roman" w:cstheme="minorHAnsi"/>
        </w:rPr>
        <w:t xml:space="preserve">one ventures on God in </w:t>
      </w:r>
      <w:r w:rsidR="002E1658">
        <w:rPr>
          <w:rFonts w:eastAsia="Times New Roman" w:cstheme="minorHAnsi"/>
        </w:rPr>
        <w:t>very</w:t>
      </w:r>
      <w:r w:rsidR="007114C4">
        <w:rPr>
          <w:rFonts w:eastAsia="Times New Roman" w:cstheme="minorHAnsi"/>
        </w:rPr>
        <w:t xml:space="preserve"> different ways </w:t>
      </w:r>
      <w:r w:rsidR="002E1658">
        <w:rPr>
          <w:rFonts w:eastAsia="Times New Roman" w:cstheme="minorHAnsi"/>
        </w:rPr>
        <w:t xml:space="preserve">than these </w:t>
      </w:r>
      <w:r w:rsidR="007114C4">
        <w:rPr>
          <w:rFonts w:eastAsia="Times New Roman" w:cstheme="minorHAnsi"/>
        </w:rPr>
        <w:t xml:space="preserve">given </w:t>
      </w:r>
      <w:r w:rsidR="009C395C">
        <w:rPr>
          <w:rFonts w:eastAsia="Times New Roman" w:cstheme="minorHAnsi"/>
        </w:rPr>
        <w:t>what’s appropriate to that</w:t>
      </w:r>
      <w:r w:rsidR="007114C4">
        <w:rPr>
          <w:rFonts w:eastAsia="Times New Roman" w:cstheme="minorHAnsi"/>
        </w:rPr>
        <w:t xml:space="preserve"> relationship.</w:t>
      </w:r>
      <w:r w:rsidR="00363349">
        <w:rPr>
          <w:rFonts w:eastAsia="Times New Roman" w:cstheme="minorHAnsi"/>
        </w:rPr>
        <w:t xml:space="preserve"> The kind of relationship it is determines what are the appropriate ways of entrusting ourselves to that person.</w:t>
      </w:r>
    </w:p>
    <w:p w14:paraId="068BBCF2" w14:textId="77777777" w:rsidR="00A938DE" w:rsidRDefault="00A938DE" w:rsidP="00363349">
      <w:pPr>
        <w:autoSpaceDE w:val="0"/>
        <w:autoSpaceDN w:val="0"/>
        <w:adjustRightInd w:val="0"/>
        <w:spacing w:line="480" w:lineRule="auto"/>
        <w:ind w:right="-720" w:firstLine="720"/>
        <w:rPr>
          <w:rFonts w:eastAsia="Times New Roman" w:cstheme="minorHAnsi"/>
        </w:rPr>
      </w:pPr>
      <w:r>
        <w:rPr>
          <w:rFonts w:eastAsia="Times New Roman" w:cstheme="minorHAnsi"/>
        </w:rPr>
        <w:t xml:space="preserve">We are now in a position to offer a statement of the view: </w:t>
      </w:r>
    </w:p>
    <w:p w14:paraId="75137D42" w14:textId="61E62423" w:rsidR="005B4A96" w:rsidRDefault="00A938DE" w:rsidP="005B4A96">
      <w:pPr>
        <w:autoSpaceDE w:val="0"/>
        <w:autoSpaceDN w:val="0"/>
        <w:adjustRightInd w:val="0"/>
        <w:spacing w:after="0" w:line="240" w:lineRule="auto"/>
        <w:ind w:left="720" w:right="-720"/>
        <w:rPr>
          <w:rFonts w:eastAsia="Times New Roman" w:cstheme="minorHAnsi"/>
        </w:rPr>
      </w:pPr>
      <w:r>
        <w:rPr>
          <w:rFonts w:eastAsia="Times New Roman" w:cstheme="minorHAnsi"/>
        </w:rPr>
        <w:t xml:space="preserve">In the context of a relationship between S1 and S2, S1 has faith in S2 if and only if S1 ventures her wellbeing on S2 where S1 </w:t>
      </w:r>
      <w:r>
        <w:t xml:space="preserve">acts on the assumption that S2 will come through for S1 in some way that matters to S1’s wellbeing, according to the kind of relationship it is. </w:t>
      </w:r>
    </w:p>
    <w:p w14:paraId="665B0EF9" w14:textId="77777777" w:rsidR="005B4A96" w:rsidRDefault="005B4A96" w:rsidP="00542BD1">
      <w:pPr>
        <w:pStyle w:val="FootnoteText"/>
        <w:spacing w:line="480" w:lineRule="auto"/>
        <w:rPr>
          <w:rFonts w:eastAsia="Times New Roman" w:cstheme="minorHAnsi"/>
          <w:sz w:val="22"/>
          <w:szCs w:val="22"/>
        </w:rPr>
      </w:pPr>
    </w:p>
    <w:p w14:paraId="766F195F" w14:textId="13D084A8" w:rsidR="00542BD1" w:rsidRDefault="006B0FBE" w:rsidP="00542BD1">
      <w:pPr>
        <w:pStyle w:val="FootnoteText"/>
        <w:spacing w:line="480" w:lineRule="auto"/>
        <w:rPr>
          <w:rFonts w:cstheme="minorHAnsi"/>
          <w:sz w:val="22"/>
          <w:szCs w:val="22"/>
        </w:rPr>
      </w:pPr>
      <w:r w:rsidRPr="00542BD1">
        <w:rPr>
          <w:rFonts w:eastAsia="Times New Roman" w:cstheme="minorHAnsi"/>
          <w:sz w:val="22"/>
          <w:szCs w:val="22"/>
        </w:rPr>
        <w:t>To be clear, this is an account of faith</w:t>
      </w:r>
      <w:r w:rsidR="005B4A96">
        <w:rPr>
          <w:rFonts w:eastAsia="Times New Roman" w:cstheme="minorHAnsi"/>
          <w:sz w:val="22"/>
          <w:szCs w:val="22"/>
        </w:rPr>
        <w:t xml:space="preserve"> and</w:t>
      </w:r>
      <w:r w:rsidRPr="00542BD1">
        <w:rPr>
          <w:rFonts w:eastAsia="Times New Roman" w:cstheme="minorHAnsi"/>
          <w:sz w:val="22"/>
          <w:szCs w:val="22"/>
        </w:rPr>
        <w:t xml:space="preserve"> not an account of faith</w:t>
      </w:r>
      <w:r w:rsidR="005901F4" w:rsidRPr="00542BD1">
        <w:rPr>
          <w:rFonts w:eastAsia="Times New Roman" w:cstheme="minorHAnsi"/>
          <w:sz w:val="22"/>
          <w:szCs w:val="22"/>
        </w:rPr>
        <w:t xml:space="preserve"> </w:t>
      </w:r>
      <w:r w:rsidR="005B4A96">
        <w:rPr>
          <w:rFonts w:eastAsia="Times New Roman" w:cstheme="minorHAnsi"/>
          <w:sz w:val="22"/>
          <w:szCs w:val="22"/>
        </w:rPr>
        <w:t>a</w:t>
      </w:r>
      <w:r w:rsidR="005901F4" w:rsidRPr="00542BD1">
        <w:rPr>
          <w:rFonts w:eastAsia="Times New Roman" w:cstheme="minorHAnsi"/>
          <w:sz w:val="22"/>
          <w:szCs w:val="22"/>
        </w:rPr>
        <w:t xml:space="preserve"> virtue</w:t>
      </w:r>
      <w:r w:rsidRPr="00542BD1">
        <w:rPr>
          <w:rFonts w:eastAsia="Times New Roman" w:cstheme="minorHAnsi"/>
          <w:sz w:val="22"/>
          <w:szCs w:val="22"/>
        </w:rPr>
        <w:t>. When philosophers and theologians talk about Christian fa</w:t>
      </w:r>
      <w:r w:rsidR="005901F4" w:rsidRPr="00542BD1">
        <w:rPr>
          <w:rFonts w:eastAsia="Times New Roman" w:cstheme="minorHAnsi"/>
          <w:sz w:val="22"/>
          <w:szCs w:val="22"/>
        </w:rPr>
        <w:t>i</w:t>
      </w:r>
      <w:r w:rsidRPr="00542BD1">
        <w:rPr>
          <w:rFonts w:eastAsia="Times New Roman" w:cstheme="minorHAnsi"/>
          <w:sz w:val="22"/>
          <w:szCs w:val="22"/>
        </w:rPr>
        <w:t>th, they are typically talking about the virtue of faith. However</w:t>
      </w:r>
      <w:r w:rsidR="005901F4" w:rsidRPr="00542BD1">
        <w:rPr>
          <w:rFonts w:eastAsia="Times New Roman" w:cstheme="minorHAnsi"/>
          <w:sz w:val="22"/>
          <w:szCs w:val="22"/>
        </w:rPr>
        <w:t>,</w:t>
      </w:r>
      <w:r w:rsidRPr="00542BD1">
        <w:rPr>
          <w:rFonts w:eastAsia="Times New Roman" w:cstheme="minorHAnsi"/>
          <w:sz w:val="22"/>
          <w:szCs w:val="22"/>
        </w:rPr>
        <w:t xml:space="preserve"> we </w:t>
      </w:r>
      <w:r w:rsidR="005901F4" w:rsidRPr="00542BD1">
        <w:rPr>
          <w:rFonts w:eastAsia="Times New Roman" w:cstheme="minorHAnsi"/>
          <w:sz w:val="22"/>
          <w:szCs w:val="22"/>
        </w:rPr>
        <w:t>have so far only been concerned with</w:t>
      </w:r>
      <w:r w:rsidRPr="00542BD1">
        <w:rPr>
          <w:rFonts w:eastAsia="Times New Roman" w:cstheme="minorHAnsi"/>
          <w:sz w:val="22"/>
          <w:szCs w:val="22"/>
        </w:rPr>
        <w:t xml:space="preserve"> ordinary instances of faith</w:t>
      </w:r>
      <w:r w:rsidR="00542BD1" w:rsidRPr="00542BD1">
        <w:rPr>
          <w:rFonts w:eastAsia="Times New Roman" w:cstheme="minorHAnsi"/>
          <w:sz w:val="22"/>
          <w:szCs w:val="22"/>
        </w:rPr>
        <w:t xml:space="preserve"> where faith can be misapplied, unwise or </w:t>
      </w:r>
      <w:r w:rsidR="005B4A96">
        <w:rPr>
          <w:rFonts w:eastAsia="Times New Roman" w:cstheme="minorHAnsi"/>
          <w:sz w:val="22"/>
          <w:szCs w:val="22"/>
        </w:rPr>
        <w:t xml:space="preserve">even </w:t>
      </w:r>
      <w:r w:rsidR="00542BD1" w:rsidRPr="00542BD1">
        <w:rPr>
          <w:rFonts w:eastAsia="Times New Roman" w:cstheme="minorHAnsi"/>
          <w:sz w:val="22"/>
          <w:szCs w:val="22"/>
        </w:rPr>
        <w:t>used for evil</w:t>
      </w:r>
      <w:r w:rsidRPr="00542BD1">
        <w:rPr>
          <w:rFonts w:eastAsia="Times New Roman" w:cstheme="minorHAnsi"/>
          <w:sz w:val="22"/>
          <w:szCs w:val="22"/>
        </w:rPr>
        <w:t xml:space="preserve">. </w:t>
      </w:r>
      <w:r w:rsidR="005901F4" w:rsidRPr="00542BD1">
        <w:rPr>
          <w:rFonts w:cstheme="minorHAnsi"/>
          <w:sz w:val="22"/>
          <w:szCs w:val="22"/>
        </w:rPr>
        <w:t xml:space="preserve">The way the term ‘faith’ is often used, in ordinary instances, it doesn’t necessarily connote a virtue. Indeed, many don’t think it is any kind of virtue at all, moral or otherwise. </w:t>
      </w:r>
    </w:p>
    <w:p w14:paraId="7406A1EC" w14:textId="28CC18E0" w:rsidR="006B0FBE" w:rsidRPr="00627106" w:rsidRDefault="005B4A96" w:rsidP="00627106">
      <w:pPr>
        <w:pStyle w:val="FootnoteText"/>
        <w:spacing w:line="480" w:lineRule="auto"/>
        <w:ind w:firstLine="720"/>
        <w:rPr>
          <w:sz w:val="22"/>
          <w:szCs w:val="22"/>
        </w:rPr>
      </w:pPr>
      <w:r>
        <w:rPr>
          <w:rFonts w:cstheme="minorHAnsi"/>
          <w:sz w:val="22"/>
          <w:szCs w:val="22"/>
        </w:rPr>
        <w:t>In what follows I will be using the terms ‘virtue’ and ‘virtuous’ in the more colloquial sense to mean a moral good. I won’t be using it in the more technical sense of the term</w:t>
      </w:r>
      <w:r w:rsidR="00542BD1" w:rsidRPr="00542BD1">
        <w:rPr>
          <w:rFonts w:cstheme="minorHAnsi"/>
          <w:sz w:val="22"/>
          <w:szCs w:val="22"/>
        </w:rPr>
        <w:t xml:space="preserve">. The reason is twofold. For one, the term ‘virtue’ has a long tradition </w:t>
      </w:r>
      <w:r w:rsidR="00542BD1" w:rsidRPr="00542BD1">
        <w:rPr>
          <w:sz w:val="22"/>
          <w:szCs w:val="22"/>
        </w:rPr>
        <w:t>and, for many,</w:t>
      </w:r>
      <w:r w:rsidR="00542BD1">
        <w:rPr>
          <w:sz w:val="22"/>
          <w:szCs w:val="22"/>
        </w:rPr>
        <w:t xml:space="preserve"> </w:t>
      </w:r>
      <w:r w:rsidR="00542BD1" w:rsidRPr="00542BD1">
        <w:rPr>
          <w:sz w:val="22"/>
          <w:szCs w:val="22"/>
        </w:rPr>
        <w:t xml:space="preserve">a rich and specific meaning. </w:t>
      </w:r>
      <w:r w:rsidR="00542BD1">
        <w:rPr>
          <w:sz w:val="22"/>
          <w:szCs w:val="22"/>
        </w:rPr>
        <w:t>It will be beneficial to avoid some of the disputes at home in that discussion. Second, i</w:t>
      </w:r>
      <w:r w:rsidR="00542BD1" w:rsidRPr="00542BD1">
        <w:rPr>
          <w:sz w:val="22"/>
          <w:szCs w:val="22"/>
        </w:rPr>
        <w:t>t is also common for people to think of faith as a specifically theological virtue</w:t>
      </w:r>
      <w:r w:rsidR="00542BD1">
        <w:rPr>
          <w:sz w:val="22"/>
          <w:szCs w:val="22"/>
        </w:rPr>
        <w:t xml:space="preserve"> where the discussion is centered on saving faith</w:t>
      </w:r>
      <w:r w:rsidR="00542BD1" w:rsidRPr="00542BD1">
        <w:rPr>
          <w:sz w:val="22"/>
          <w:szCs w:val="22"/>
        </w:rPr>
        <w:t>. I’m offering a more modest account of</w:t>
      </w:r>
      <w:r w:rsidR="00627106">
        <w:rPr>
          <w:sz w:val="22"/>
          <w:szCs w:val="22"/>
        </w:rPr>
        <w:t>,</w:t>
      </w:r>
      <w:r w:rsidR="00542BD1" w:rsidRPr="00542BD1">
        <w:rPr>
          <w:sz w:val="22"/>
          <w:szCs w:val="22"/>
        </w:rPr>
        <w:t xml:space="preserve"> </w:t>
      </w:r>
      <w:r w:rsidR="00627106">
        <w:rPr>
          <w:sz w:val="22"/>
          <w:szCs w:val="22"/>
        </w:rPr>
        <w:t xml:space="preserve">what I’ll call, </w:t>
      </w:r>
      <w:r w:rsidR="00627106" w:rsidRPr="005B4A96">
        <w:rPr>
          <w:i/>
          <w:sz w:val="22"/>
          <w:szCs w:val="22"/>
        </w:rPr>
        <w:t xml:space="preserve">virtuous </w:t>
      </w:r>
      <w:r w:rsidR="00542BD1" w:rsidRPr="005B4A96">
        <w:rPr>
          <w:i/>
          <w:sz w:val="22"/>
          <w:szCs w:val="22"/>
        </w:rPr>
        <w:t>faith</w:t>
      </w:r>
      <w:r w:rsidR="00542BD1" w:rsidRPr="00542BD1">
        <w:rPr>
          <w:sz w:val="22"/>
          <w:szCs w:val="22"/>
        </w:rPr>
        <w:t xml:space="preserve"> </w:t>
      </w:r>
      <w:r w:rsidR="00627106">
        <w:rPr>
          <w:sz w:val="22"/>
          <w:szCs w:val="22"/>
        </w:rPr>
        <w:t>where faith is seen as a</w:t>
      </w:r>
      <w:r w:rsidR="00542BD1" w:rsidRPr="00542BD1">
        <w:rPr>
          <w:sz w:val="22"/>
          <w:szCs w:val="22"/>
        </w:rPr>
        <w:t xml:space="preserve"> moral good</w:t>
      </w:r>
      <w:r w:rsidR="00542BD1" w:rsidRPr="00627106">
        <w:rPr>
          <w:sz w:val="22"/>
          <w:szCs w:val="22"/>
        </w:rPr>
        <w:t xml:space="preserve">. </w:t>
      </w:r>
      <w:r w:rsidR="006B0FBE" w:rsidRPr="00627106">
        <w:rPr>
          <w:rFonts w:eastAsia="Times New Roman" w:cstheme="minorHAnsi"/>
          <w:sz w:val="22"/>
          <w:szCs w:val="22"/>
        </w:rPr>
        <w:t>In light of this, we turn now to give an account of faith as a moral good.</w:t>
      </w:r>
      <w:r w:rsidR="00627106">
        <w:rPr>
          <w:rFonts w:eastAsia="Times New Roman" w:cstheme="minorHAnsi"/>
          <w:b/>
        </w:rPr>
        <w:t xml:space="preserve"> </w:t>
      </w:r>
    </w:p>
    <w:p w14:paraId="17F73D80" w14:textId="42FFD0B6" w:rsidR="00363349" w:rsidRPr="00363349" w:rsidRDefault="00627106" w:rsidP="00363349">
      <w:pPr>
        <w:autoSpaceDE w:val="0"/>
        <w:autoSpaceDN w:val="0"/>
        <w:adjustRightInd w:val="0"/>
        <w:spacing w:line="480" w:lineRule="auto"/>
        <w:ind w:right="-720"/>
        <w:rPr>
          <w:rFonts w:eastAsia="Times New Roman" w:cstheme="minorHAnsi"/>
          <w:b/>
        </w:rPr>
      </w:pPr>
      <w:r>
        <w:rPr>
          <w:rFonts w:eastAsia="Times New Roman" w:cstheme="minorHAnsi"/>
          <w:b/>
        </w:rPr>
        <w:t xml:space="preserve">Virtuous </w:t>
      </w:r>
      <w:r w:rsidR="005901F4">
        <w:rPr>
          <w:rFonts w:eastAsia="Times New Roman" w:cstheme="minorHAnsi"/>
          <w:b/>
        </w:rPr>
        <w:t>Faith</w:t>
      </w:r>
    </w:p>
    <w:p w14:paraId="4E6887B8" w14:textId="4A395C06" w:rsidR="00941C00" w:rsidRDefault="004E4DFE" w:rsidP="00143EDD">
      <w:pPr>
        <w:autoSpaceDE w:val="0"/>
        <w:autoSpaceDN w:val="0"/>
        <w:adjustRightInd w:val="0"/>
        <w:spacing w:line="480" w:lineRule="auto"/>
        <w:ind w:right="-720" w:firstLine="720"/>
        <w:rPr>
          <w:rFonts w:eastAsia="Times New Roman" w:cstheme="minorHAnsi"/>
        </w:rPr>
      </w:pPr>
      <w:r>
        <w:rPr>
          <w:rFonts w:eastAsia="Times New Roman" w:cstheme="minorHAnsi"/>
        </w:rPr>
        <w:t xml:space="preserve">One thing to navigate </w:t>
      </w:r>
      <w:r w:rsidR="005B4A96">
        <w:rPr>
          <w:rFonts w:eastAsia="Times New Roman" w:cstheme="minorHAnsi"/>
        </w:rPr>
        <w:t>at the outset</w:t>
      </w:r>
      <w:r>
        <w:rPr>
          <w:rFonts w:eastAsia="Times New Roman" w:cstheme="minorHAnsi"/>
        </w:rPr>
        <w:t xml:space="preserve"> is a worry </w:t>
      </w:r>
      <w:r w:rsidR="00AC54EE">
        <w:rPr>
          <w:rFonts w:eastAsia="Times New Roman" w:cstheme="minorHAnsi"/>
        </w:rPr>
        <w:t>Swinburne</w:t>
      </w:r>
      <w:r w:rsidR="00D21A0B">
        <w:rPr>
          <w:rFonts w:eastAsia="Times New Roman" w:cstheme="minorHAnsi"/>
        </w:rPr>
        <w:t xml:space="preserve"> raises</w:t>
      </w:r>
      <w:r w:rsidR="00AC54EE">
        <w:rPr>
          <w:rFonts w:eastAsia="Times New Roman" w:cstheme="minorHAnsi"/>
        </w:rPr>
        <w:t>.</w:t>
      </w:r>
      <w:r w:rsidR="00283049">
        <w:rPr>
          <w:rStyle w:val="FootnoteReference"/>
          <w:rFonts w:eastAsia="Times New Roman" w:cstheme="minorHAnsi"/>
        </w:rPr>
        <w:footnoteReference w:id="21"/>
      </w:r>
      <w:r w:rsidR="00AC54EE">
        <w:rPr>
          <w:rFonts w:eastAsia="Times New Roman" w:cstheme="minorHAnsi"/>
        </w:rPr>
        <w:t xml:space="preserve"> The worry is </w:t>
      </w:r>
      <w:r w:rsidR="00A956ED">
        <w:rPr>
          <w:rFonts w:eastAsia="Times New Roman" w:cstheme="minorHAnsi"/>
        </w:rPr>
        <w:t>that</w:t>
      </w:r>
      <w:r w:rsidR="00AC54EE">
        <w:rPr>
          <w:rFonts w:eastAsia="Times New Roman" w:cstheme="minorHAnsi"/>
        </w:rPr>
        <w:t xml:space="preserve"> </w:t>
      </w:r>
      <w:r w:rsidR="00363349">
        <w:rPr>
          <w:rFonts w:eastAsia="Times New Roman" w:cstheme="minorHAnsi"/>
        </w:rPr>
        <w:t>it should not be possible to satisfy a proposed account of faith and be a scoundrel.</w:t>
      </w:r>
      <w:r w:rsidR="00941C00">
        <w:rPr>
          <w:rFonts w:eastAsia="Times New Roman" w:cstheme="minorHAnsi"/>
        </w:rPr>
        <w:t xml:space="preserve"> In outlining other views of faith, Swinburne says that the problem with these accounts is that:</w:t>
      </w:r>
    </w:p>
    <w:p w14:paraId="7C84940B" w14:textId="2DB02236" w:rsidR="00941C00" w:rsidRPr="00941C00" w:rsidRDefault="00941C00" w:rsidP="00941C00">
      <w:pPr>
        <w:autoSpaceDE w:val="0"/>
        <w:autoSpaceDN w:val="0"/>
        <w:adjustRightInd w:val="0"/>
        <w:spacing w:after="0" w:line="240" w:lineRule="auto"/>
        <w:ind w:left="720"/>
        <w:rPr>
          <w:rFonts w:eastAsia="Times New Roman" w:cstheme="minorHAnsi"/>
        </w:rPr>
      </w:pPr>
      <w:r>
        <w:rPr>
          <w:rFonts w:eastAsia="AdvPAD0C" w:cstheme="minorHAnsi"/>
        </w:rPr>
        <w:t>…</w:t>
      </w:r>
      <w:r w:rsidRPr="00941C00">
        <w:rPr>
          <w:rFonts w:eastAsia="AdvPAD0C" w:cstheme="minorHAnsi"/>
        </w:rPr>
        <w:t xml:space="preserve">the perfect scoundrel may yet be a person of faith. For what you do when you act on an assumption depends on what your purposes are…A person may act on the assumption that God will do for him what he wants or needs, with purposes good or evil. Acting on that assumption, he may try to conquer the world, believing that God will help him in his task. Shall we call such a person a person of faith? Does he not trust God? Or the antinomian whom St Paul attacks for suggesting that people should </w:t>
      </w:r>
      <w:r w:rsidRPr="00941C00">
        <w:rPr>
          <w:rFonts w:eastAsia="AdvPAD0C" w:cstheme="minorHAnsi"/>
        </w:rPr>
        <w:lastRenderedPageBreak/>
        <w:t xml:space="preserve">‘continue in sin in order that </w:t>
      </w:r>
      <w:r>
        <w:rPr>
          <w:rFonts w:eastAsia="AdvPAD0C" w:cstheme="minorHAnsi"/>
        </w:rPr>
        <w:t>grace may abound’?</w:t>
      </w:r>
      <w:r w:rsidRPr="00941C00">
        <w:rPr>
          <w:rFonts w:eastAsia="AdvPAD0C" w:cstheme="minorHAnsi"/>
        </w:rPr>
        <w:t xml:space="preserve"> Does he not trust God, to care for him abundantly well?</w:t>
      </w:r>
      <w:r w:rsidRPr="00941C00">
        <w:rPr>
          <w:rStyle w:val="FootnoteReference"/>
          <w:rFonts w:eastAsia="AdvPAD0C" w:cstheme="minorHAnsi"/>
        </w:rPr>
        <w:footnoteReference w:id="22"/>
      </w:r>
    </w:p>
    <w:p w14:paraId="1C1FBC86" w14:textId="77777777" w:rsidR="00941C00" w:rsidRDefault="00941C00" w:rsidP="00941C00">
      <w:pPr>
        <w:autoSpaceDE w:val="0"/>
        <w:autoSpaceDN w:val="0"/>
        <w:adjustRightInd w:val="0"/>
        <w:spacing w:line="480" w:lineRule="auto"/>
        <w:ind w:right="-720"/>
        <w:rPr>
          <w:rFonts w:eastAsia="Times New Roman" w:cstheme="minorHAnsi"/>
        </w:rPr>
      </w:pPr>
    </w:p>
    <w:p w14:paraId="20E94CC2" w14:textId="7DFF13FB" w:rsidR="00AB7452" w:rsidRDefault="009E729E" w:rsidP="00AB7452">
      <w:pPr>
        <w:autoSpaceDE w:val="0"/>
        <w:autoSpaceDN w:val="0"/>
        <w:adjustRightInd w:val="0"/>
        <w:spacing w:line="480" w:lineRule="auto"/>
        <w:ind w:right="-720"/>
        <w:rPr>
          <w:rFonts w:eastAsia="Times New Roman" w:cstheme="minorHAnsi"/>
        </w:rPr>
      </w:pPr>
      <w:r>
        <w:rPr>
          <w:rFonts w:eastAsia="Times New Roman" w:cstheme="minorHAnsi"/>
        </w:rPr>
        <w:t xml:space="preserve">Swinburne does not say a lot about </w:t>
      </w:r>
      <w:r w:rsidR="008949BA">
        <w:rPr>
          <w:rFonts w:eastAsia="Times New Roman" w:cstheme="minorHAnsi"/>
        </w:rPr>
        <w:t>what he sees as</w:t>
      </w:r>
      <w:r w:rsidR="00A938DE">
        <w:rPr>
          <w:rFonts w:eastAsia="Times New Roman" w:cstheme="minorHAnsi"/>
        </w:rPr>
        <w:t xml:space="preserve"> problem</w:t>
      </w:r>
      <w:r w:rsidR="008949BA">
        <w:rPr>
          <w:rFonts w:eastAsia="Times New Roman" w:cstheme="minorHAnsi"/>
        </w:rPr>
        <w:t xml:space="preserve">atic about a scoundrel </w:t>
      </w:r>
      <w:r w:rsidR="00AB7452">
        <w:rPr>
          <w:rFonts w:eastAsia="Times New Roman" w:cstheme="minorHAnsi"/>
        </w:rPr>
        <w:t>being a person</w:t>
      </w:r>
      <w:r w:rsidR="008949BA">
        <w:rPr>
          <w:rFonts w:eastAsia="Times New Roman" w:cstheme="minorHAnsi"/>
        </w:rPr>
        <w:t xml:space="preserve"> of faith</w:t>
      </w:r>
      <w:r>
        <w:rPr>
          <w:rFonts w:eastAsia="Times New Roman" w:cstheme="minorHAnsi"/>
        </w:rPr>
        <w:t xml:space="preserve">. </w:t>
      </w:r>
      <w:r w:rsidR="00AB7452">
        <w:rPr>
          <w:rFonts w:eastAsia="Times New Roman" w:cstheme="minorHAnsi"/>
        </w:rPr>
        <w:t xml:space="preserve">After all, on the Christian view, we are </w:t>
      </w:r>
      <w:r w:rsidR="00A35C86">
        <w:rPr>
          <w:rFonts w:eastAsia="Times New Roman" w:cstheme="minorHAnsi"/>
        </w:rPr>
        <w:t xml:space="preserve">all </w:t>
      </w:r>
      <w:r w:rsidR="00AB7452">
        <w:rPr>
          <w:rFonts w:eastAsia="Times New Roman" w:cstheme="minorHAnsi"/>
        </w:rPr>
        <w:t>scoundrels to some extent. Swinburne</w:t>
      </w:r>
      <w:r w:rsidR="00A35C86">
        <w:rPr>
          <w:rFonts w:eastAsia="Times New Roman" w:cstheme="minorHAnsi"/>
        </w:rPr>
        <w:t xml:space="preserve"> is, in this section, </w:t>
      </w:r>
      <w:r w:rsidR="00AB7452">
        <w:rPr>
          <w:rFonts w:eastAsia="Times New Roman" w:cstheme="minorHAnsi"/>
        </w:rPr>
        <w:t xml:space="preserve">thinking of </w:t>
      </w:r>
      <w:r w:rsidR="00A35C86">
        <w:rPr>
          <w:rFonts w:eastAsia="Times New Roman" w:cstheme="minorHAnsi"/>
        </w:rPr>
        <w:t xml:space="preserve">Christian </w:t>
      </w:r>
      <w:r w:rsidR="00AB7452">
        <w:rPr>
          <w:rFonts w:eastAsia="Times New Roman" w:cstheme="minorHAnsi"/>
        </w:rPr>
        <w:t xml:space="preserve">faith as a virtue. So perhaps the objection is that a person should not be able to satisfy an account of faith, </w:t>
      </w:r>
      <w:r w:rsidR="00A35C86">
        <w:rPr>
          <w:rFonts w:eastAsia="Times New Roman" w:cstheme="minorHAnsi"/>
        </w:rPr>
        <w:t>as</w:t>
      </w:r>
      <w:r w:rsidR="00AB7452">
        <w:rPr>
          <w:rFonts w:eastAsia="Times New Roman" w:cstheme="minorHAnsi"/>
        </w:rPr>
        <w:t xml:space="preserve"> a virtue, in a specifically unvirtuous way.</w:t>
      </w:r>
      <w:r w:rsidR="005631D7">
        <w:rPr>
          <w:rFonts w:eastAsia="Times New Roman" w:cstheme="minorHAnsi"/>
        </w:rPr>
        <w:t xml:space="preserve"> </w:t>
      </w:r>
    </w:p>
    <w:p w14:paraId="43DABA95" w14:textId="0B267D2A" w:rsidR="00136487" w:rsidRDefault="005631D7" w:rsidP="00617B69">
      <w:pPr>
        <w:autoSpaceDE w:val="0"/>
        <w:autoSpaceDN w:val="0"/>
        <w:adjustRightInd w:val="0"/>
        <w:spacing w:line="480" w:lineRule="auto"/>
        <w:ind w:right="-720" w:firstLine="720"/>
        <w:rPr>
          <w:rFonts w:cstheme="minorHAnsi"/>
        </w:rPr>
      </w:pPr>
      <w:r>
        <w:rPr>
          <w:rFonts w:cstheme="minorHAnsi"/>
        </w:rPr>
        <w:t>So t</w:t>
      </w:r>
      <w:r w:rsidR="00603976">
        <w:rPr>
          <w:rFonts w:cstheme="minorHAnsi"/>
        </w:rPr>
        <w:t>he first thing to say</w:t>
      </w:r>
      <w:r w:rsidR="001650B5">
        <w:rPr>
          <w:rFonts w:cstheme="minorHAnsi"/>
        </w:rPr>
        <w:t xml:space="preserve">, </w:t>
      </w:r>
      <w:r>
        <w:rPr>
          <w:rFonts w:cstheme="minorHAnsi"/>
        </w:rPr>
        <w:t xml:space="preserve">in light of </w:t>
      </w:r>
      <w:r w:rsidR="00603976">
        <w:rPr>
          <w:rFonts w:cstheme="minorHAnsi"/>
        </w:rPr>
        <w:t>Swinburne’s scoundrel objection</w:t>
      </w:r>
      <w:r w:rsidR="001650B5">
        <w:rPr>
          <w:rFonts w:cstheme="minorHAnsi"/>
        </w:rPr>
        <w:t>,</w:t>
      </w:r>
      <w:r w:rsidR="00603976">
        <w:rPr>
          <w:rFonts w:cstheme="minorHAnsi"/>
        </w:rPr>
        <w:t xml:space="preserve"> is that </w:t>
      </w:r>
      <w:r w:rsidR="00627106">
        <w:rPr>
          <w:rFonts w:cstheme="minorHAnsi"/>
        </w:rPr>
        <w:t>virtuous</w:t>
      </w:r>
      <w:r w:rsidR="00603976">
        <w:rPr>
          <w:rFonts w:cstheme="minorHAnsi"/>
        </w:rPr>
        <w:t xml:space="preserve"> faith</w:t>
      </w:r>
      <w:r w:rsidR="004F5DAD">
        <w:rPr>
          <w:rFonts w:cstheme="minorHAnsi"/>
        </w:rPr>
        <w:t xml:space="preserve">, </w:t>
      </w:r>
      <w:r w:rsidR="00BA2E14">
        <w:rPr>
          <w:rFonts w:cstheme="minorHAnsi"/>
        </w:rPr>
        <w:t>as I’m conceiving of it</w:t>
      </w:r>
      <w:r w:rsidR="004F5DAD">
        <w:rPr>
          <w:rFonts w:cstheme="minorHAnsi"/>
        </w:rPr>
        <w:t>,</w:t>
      </w:r>
      <w:r w:rsidR="00603976">
        <w:rPr>
          <w:rFonts w:cstheme="minorHAnsi"/>
        </w:rPr>
        <w:t xml:space="preserve"> </w:t>
      </w:r>
      <w:r w:rsidR="00913D7D">
        <w:rPr>
          <w:rFonts w:cstheme="minorHAnsi"/>
        </w:rPr>
        <w:t xml:space="preserve">should </w:t>
      </w:r>
      <w:r w:rsidR="005B4A96">
        <w:rPr>
          <w:rFonts w:cstheme="minorHAnsi"/>
        </w:rPr>
        <w:t xml:space="preserve">happen </w:t>
      </w:r>
      <w:r w:rsidR="00913D7D">
        <w:rPr>
          <w:rFonts w:cstheme="minorHAnsi"/>
        </w:rPr>
        <w:t>in the context where</w:t>
      </w:r>
      <w:r w:rsidR="00603976">
        <w:rPr>
          <w:rFonts w:cstheme="minorHAnsi"/>
        </w:rPr>
        <w:t xml:space="preserve"> </w:t>
      </w:r>
      <w:r w:rsidR="001650B5">
        <w:rPr>
          <w:rFonts w:cstheme="minorHAnsi"/>
        </w:rPr>
        <w:t xml:space="preserve">there </w:t>
      </w:r>
      <w:r w:rsidR="00913D7D">
        <w:rPr>
          <w:rFonts w:cstheme="minorHAnsi"/>
        </w:rPr>
        <w:t>is</w:t>
      </w:r>
      <w:r w:rsidR="00603976">
        <w:rPr>
          <w:rFonts w:cstheme="minorHAnsi"/>
        </w:rPr>
        <w:t xml:space="preserve"> a </w:t>
      </w:r>
      <w:r w:rsidR="004F5DAD">
        <w:rPr>
          <w:rFonts w:cstheme="minorHAnsi"/>
        </w:rPr>
        <w:t xml:space="preserve">mutual </w:t>
      </w:r>
      <w:r w:rsidR="001650B5">
        <w:rPr>
          <w:rFonts w:cstheme="minorHAnsi"/>
        </w:rPr>
        <w:t>goodwill</w:t>
      </w:r>
      <w:r w:rsidR="00603976">
        <w:rPr>
          <w:rFonts w:cstheme="minorHAnsi"/>
        </w:rPr>
        <w:t>.</w:t>
      </w:r>
      <w:r w:rsidR="00BA2E14">
        <w:rPr>
          <w:rFonts w:cstheme="minorHAnsi"/>
        </w:rPr>
        <w:t xml:space="preserve"> </w:t>
      </w:r>
      <w:r w:rsidR="00913D7D">
        <w:rPr>
          <w:rFonts w:cstheme="minorHAnsi"/>
        </w:rPr>
        <w:t>This is motivated by the fact that</w:t>
      </w:r>
      <w:r>
        <w:rPr>
          <w:rFonts w:cstheme="minorHAnsi"/>
        </w:rPr>
        <w:t xml:space="preserve"> we are focused on faith in the context of relation</w:t>
      </w:r>
      <w:r w:rsidR="00913D7D">
        <w:rPr>
          <w:rFonts w:cstheme="minorHAnsi"/>
        </w:rPr>
        <w:t>ships. S</w:t>
      </w:r>
      <w:r>
        <w:rPr>
          <w:rFonts w:cstheme="minorHAnsi"/>
        </w:rPr>
        <w:t xml:space="preserve">o </w:t>
      </w:r>
      <w:r w:rsidR="00603976">
        <w:rPr>
          <w:rFonts w:cstheme="minorHAnsi"/>
        </w:rPr>
        <w:t xml:space="preserve">this </w:t>
      </w:r>
      <w:r w:rsidR="00BA2E14">
        <w:rPr>
          <w:rFonts w:cstheme="minorHAnsi"/>
        </w:rPr>
        <w:t xml:space="preserve">must be the kind of relationship </w:t>
      </w:r>
      <w:r w:rsidR="00603976">
        <w:rPr>
          <w:rFonts w:cstheme="minorHAnsi"/>
        </w:rPr>
        <w:t xml:space="preserve">that </w:t>
      </w:r>
      <w:r w:rsidR="004E5E7F">
        <w:rPr>
          <w:rFonts w:cstheme="minorHAnsi"/>
        </w:rPr>
        <w:t xml:space="preserve">provides a context </w:t>
      </w:r>
      <w:r w:rsidR="00603976">
        <w:rPr>
          <w:rFonts w:cstheme="minorHAnsi"/>
        </w:rPr>
        <w:t xml:space="preserve">for </w:t>
      </w:r>
      <w:r w:rsidR="004F5DAD">
        <w:rPr>
          <w:rFonts w:cstheme="minorHAnsi"/>
        </w:rPr>
        <w:t>a morally praiseworthy</w:t>
      </w:r>
      <w:r w:rsidR="001650B5">
        <w:rPr>
          <w:rFonts w:cstheme="minorHAnsi"/>
        </w:rPr>
        <w:t xml:space="preserve"> faith. </w:t>
      </w:r>
      <w:r w:rsidR="00BA2E14">
        <w:rPr>
          <w:rFonts w:cstheme="minorHAnsi"/>
        </w:rPr>
        <w:t>And</w:t>
      </w:r>
      <w:r w:rsidR="001650B5">
        <w:rPr>
          <w:rFonts w:cstheme="minorHAnsi"/>
        </w:rPr>
        <w:t xml:space="preserve"> the rather obvious fact </w:t>
      </w:r>
      <w:r w:rsidR="005D5CAC">
        <w:rPr>
          <w:rFonts w:cstheme="minorHAnsi"/>
        </w:rPr>
        <w:t xml:space="preserve">is </w:t>
      </w:r>
      <w:r w:rsidR="00BA2E14">
        <w:rPr>
          <w:rFonts w:cstheme="minorHAnsi"/>
        </w:rPr>
        <w:t xml:space="preserve">it is </w:t>
      </w:r>
      <w:r w:rsidR="004F5DAD">
        <w:rPr>
          <w:rFonts w:cstheme="minorHAnsi"/>
        </w:rPr>
        <w:t xml:space="preserve">a </w:t>
      </w:r>
      <w:r w:rsidR="0023039A">
        <w:rPr>
          <w:rFonts w:cstheme="minorHAnsi"/>
        </w:rPr>
        <w:t xml:space="preserve">really </w:t>
      </w:r>
      <w:r w:rsidR="005D5CAC">
        <w:rPr>
          <w:rFonts w:cstheme="minorHAnsi"/>
        </w:rPr>
        <w:t xml:space="preserve">bad idea to entrust </w:t>
      </w:r>
      <w:r w:rsidR="004F5DAD">
        <w:rPr>
          <w:rFonts w:cstheme="minorHAnsi"/>
        </w:rPr>
        <w:t xml:space="preserve">oneself </w:t>
      </w:r>
      <w:r w:rsidR="005D5CAC">
        <w:rPr>
          <w:rFonts w:cstheme="minorHAnsi"/>
        </w:rPr>
        <w:t xml:space="preserve">to </w:t>
      </w:r>
      <w:r w:rsidR="004F5DAD">
        <w:rPr>
          <w:rFonts w:cstheme="minorHAnsi"/>
        </w:rPr>
        <w:t>a scoundrel</w:t>
      </w:r>
      <w:r w:rsidR="005D5CAC">
        <w:rPr>
          <w:rFonts w:cstheme="minorHAnsi"/>
        </w:rPr>
        <w:t xml:space="preserve">. </w:t>
      </w:r>
      <w:r w:rsidR="00BA2E14">
        <w:rPr>
          <w:rFonts w:cstheme="minorHAnsi"/>
        </w:rPr>
        <w:t>We</w:t>
      </w:r>
      <w:r w:rsidR="005D5CAC">
        <w:rPr>
          <w:rFonts w:cstheme="minorHAnsi"/>
        </w:rPr>
        <w:t xml:space="preserve"> shouldn’t </w:t>
      </w:r>
      <w:r w:rsidR="00603976">
        <w:rPr>
          <w:rFonts w:cstheme="minorHAnsi"/>
        </w:rPr>
        <w:t>venture trust on</w:t>
      </w:r>
      <w:r w:rsidR="005D5CAC">
        <w:rPr>
          <w:rFonts w:cstheme="minorHAnsi"/>
        </w:rPr>
        <w:t xml:space="preserve"> people</w:t>
      </w:r>
      <w:r w:rsidR="004F5DAD">
        <w:rPr>
          <w:rFonts w:cstheme="minorHAnsi"/>
        </w:rPr>
        <w:t xml:space="preserve"> who do not have </w:t>
      </w:r>
      <w:r w:rsidR="00BA2E14">
        <w:rPr>
          <w:rFonts w:cstheme="minorHAnsi"/>
        </w:rPr>
        <w:t xml:space="preserve">our wellbeing as their </w:t>
      </w:r>
      <w:r w:rsidR="005D5CAC">
        <w:rPr>
          <w:rFonts w:cstheme="minorHAnsi"/>
        </w:rPr>
        <w:t>interest</w:t>
      </w:r>
      <w:r w:rsidR="004F5DAD">
        <w:rPr>
          <w:rFonts w:cstheme="minorHAnsi"/>
        </w:rPr>
        <w:t xml:space="preserve"> or aim</w:t>
      </w:r>
      <w:r w:rsidR="005D5CAC">
        <w:rPr>
          <w:rFonts w:cstheme="minorHAnsi"/>
        </w:rPr>
        <w:t xml:space="preserve">. </w:t>
      </w:r>
      <w:r w:rsidR="00136487">
        <w:rPr>
          <w:rFonts w:cstheme="minorHAnsi"/>
        </w:rPr>
        <w:t>The</w:t>
      </w:r>
      <w:r w:rsidR="001650B5">
        <w:rPr>
          <w:rFonts w:cstheme="minorHAnsi"/>
        </w:rPr>
        <w:t xml:space="preserve"> </w:t>
      </w:r>
      <w:r w:rsidR="00617B69">
        <w:rPr>
          <w:rFonts w:cstheme="minorHAnsi"/>
        </w:rPr>
        <w:t>idea</w:t>
      </w:r>
      <w:r w:rsidR="009C2BEA">
        <w:rPr>
          <w:rFonts w:cstheme="minorHAnsi"/>
        </w:rPr>
        <w:t xml:space="preserve"> </w:t>
      </w:r>
      <w:r w:rsidR="00E1562A">
        <w:rPr>
          <w:rFonts w:cstheme="minorHAnsi"/>
        </w:rPr>
        <w:t>here is</w:t>
      </w:r>
      <w:r w:rsidR="001650B5">
        <w:rPr>
          <w:rFonts w:cstheme="minorHAnsi"/>
        </w:rPr>
        <w:t xml:space="preserve"> reminiscent of Aristotle’s notion of a true friendship.</w:t>
      </w:r>
      <w:r w:rsidR="00617B69">
        <w:rPr>
          <w:rStyle w:val="FootnoteReference"/>
          <w:rFonts w:cstheme="minorHAnsi"/>
        </w:rPr>
        <w:footnoteReference w:id="23"/>
      </w:r>
      <w:r w:rsidR="00136487">
        <w:rPr>
          <w:rFonts w:cstheme="minorHAnsi"/>
        </w:rPr>
        <w:t xml:space="preserve"> In short, </w:t>
      </w:r>
      <w:r w:rsidR="00BA2E14">
        <w:rPr>
          <w:rFonts w:cstheme="minorHAnsi"/>
        </w:rPr>
        <w:t xml:space="preserve">one should only place </w:t>
      </w:r>
      <w:r w:rsidR="00913D7D">
        <w:rPr>
          <w:rFonts w:cstheme="minorHAnsi"/>
        </w:rPr>
        <w:t>one’s</w:t>
      </w:r>
      <w:r w:rsidR="00BA2E14">
        <w:rPr>
          <w:rFonts w:cstheme="minorHAnsi"/>
        </w:rPr>
        <w:t xml:space="preserve"> </w:t>
      </w:r>
      <w:r w:rsidR="009C2BEA">
        <w:rPr>
          <w:rFonts w:cstheme="minorHAnsi"/>
        </w:rPr>
        <w:t xml:space="preserve">faith </w:t>
      </w:r>
      <w:r w:rsidR="00BA2E14">
        <w:rPr>
          <w:rFonts w:cstheme="minorHAnsi"/>
        </w:rPr>
        <w:t>in a</w:t>
      </w:r>
      <w:r w:rsidR="00136487">
        <w:rPr>
          <w:rFonts w:cstheme="minorHAnsi"/>
        </w:rPr>
        <w:t xml:space="preserve"> genuin</w:t>
      </w:r>
      <w:r w:rsidR="00BA2E14">
        <w:rPr>
          <w:rFonts w:cstheme="minorHAnsi"/>
        </w:rPr>
        <w:t>e friend</w:t>
      </w:r>
      <w:r w:rsidR="00136487">
        <w:rPr>
          <w:rFonts w:cstheme="minorHAnsi"/>
        </w:rPr>
        <w:t>.</w:t>
      </w:r>
    </w:p>
    <w:p w14:paraId="51EC502F" w14:textId="64679E49" w:rsidR="000243E6" w:rsidRDefault="000243E6" w:rsidP="00143EDD">
      <w:pPr>
        <w:autoSpaceDE w:val="0"/>
        <w:autoSpaceDN w:val="0"/>
        <w:adjustRightInd w:val="0"/>
        <w:spacing w:line="480" w:lineRule="auto"/>
        <w:ind w:right="-720" w:firstLine="720"/>
        <w:rPr>
          <w:rFonts w:cstheme="minorHAnsi"/>
        </w:rPr>
      </w:pPr>
      <w:r>
        <w:rPr>
          <w:rFonts w:cstheme="minorHAnsi"/>
        </w:rPr>
        <w:t xml:space="preserve">Second, </w:t>
      </w:r>
      <w:r w:rsidR="004E5E7F">
        <w:rPr>
          <w:rFonts w:cstheme="minorHAnsi"/>
        </w:rPr>
        <w:t xml:space="preserve">it seems </w:t>
      </w:r>
      <w:r>
        <w:rPr>
          <w:rFonts w:cstheme="minorHAnsi"/>
        </w:rPr>
        <w:t xml:space="preserve">we need to know that someone is minimally competent </w:t>
      </w:r>
      <w:r w:rsidR="003801CD">
        <w:rPr>
          <w:rFonts w:cstheme="minorHAnsi"/>
        </w:rPr>
        <w:t>to fulfill our</w:t>
      </w:r>
      <w:r w:rsidR="004E5E7F">
        <w:rPr>
          <w:rFonts w:cstheme="minorHAnsi"/>
        </w:rPr>
        <w:t>,</w:t>
      </w:r>
      <w:r w:rsidR="003801CD">
        <w:rPr>
          <w:rFonts w:cstheme="minorHAnsi"/>
        </w:rPr>
        <w:t xml:space="preserve"> </w:t>
      </w:r>
      <w:r w:rsidR="00F441AC">
        <w:rPr>
          <w:rFonts w:cstheme="minorHAnsi"/>
        </w:rPr>
        <w:t>at least</w:t>
      </w:r>
      <w:r w:rsidR="004E5E7F">
        <w:rPr>
          <w:rFonts w:cstheme="minorHAnsi"/>
        </w:rPr>
        <w:t>,</w:t>
      </w:r>
      <w:r w:rsidR="00F441AC">
        <w:rPr>
          <w:rFonts w:cstheme="minorHAnsi"/>
        </w:rPr>
        <w:t xml:space="preserve"> </w:t>
      </w:r>
      <w:r w:rsidR="003801CD">
        <w:rPr>
          <w:rFonts w:cstheme="minorHAnsi"/>
        </w:rPr>
        <w:t xml:space="preserve">basic relational expectations. </w:t>
      </w:r>
      <w:r w:rsidR="00F441AC">
        <w:rPr>
          <w:rFonts w:cstheme="minorHAnsi"/>
        </w:rPr>
        <w:t xml:space="preserve">We shouldn’t, it seems, trust an incompetent person even </w:t>
      </w:r>
      <w:r w:rsidR="00584245">
        <w:rPr>
          <w:rFonts w:cstheme="minorHAnsi"/>
        </w:rPr>
        <w:t>if</w:t>
      </w:r>
      <w:r w:rsidR="00F441AC">
        <w:rPr>
          <w:rFonts w:cstheme="minorHAnsi"/>
        </w:rPr>
        <w:t xml:space="preserve"> </w:t>
      </w:r>
      <w:r w:rsidR="004E5E7F">
        <w:rPr>
          <w:rFonts w:cstheme="minorHAnsi"/>
        </w:rPr>
        <w:t xml:space="preserve">the person is </w:t>
      </w:r>
      <w:r w:rsidR="00F441AC">
        <w:rPr>
          <w:rFonts w:cstheme="minorHAnsi"/>
        </w:rPr>
        <w:t xml:space="preserve">well intentioned. Take, for example, </w:t>
      </w:r>
      <w:r w:rsidR="004E5E7F">
        <w:rPr>
          <w:rFonts w:cstheme="minorHAnsi"/>
        </w:rPr>
        <w:t>someone who has offered to babysit your child. Suppose the prospective</w:t>
      </w:r>
      <w:r w:rsidR="00F441AC">
        <w:rPr>
          <w:rFonts w:cstheme="minorHAnsi"/>
        </w:rPr>
        <w:t xml:space="preserve"> babysitter loves you and your family and is</w:t>
      </w:r>
      <w:r w:rsidR="00913D7D">
        <w:rPr>
          <w:rFonts w:cstheme="minorHAnsi"/>
        </w:rPr>
        <w:t xml:space="preserve"> sincerely</w:t>
      </w:r>
      <w:r w:rsidR="00F441AC">
        <w:rPr>
          <w:rFonts w:cstheme="minorHAnsi"/>
        </w:rPr>
        <w:t xml:space="preserve"> interested in the good </w:t>
      </w:r>
      <w:r w:rsidR="00584245">
        <w:rPr>
          <w:rFonts w:cstheme="minorHAnsi"/>
        </w:rPr>
        <w:t xml:space="preserve">of </w:t>
      </w:r>
      <w:r w:rsidR="00F441AC">
        <w:rPr>
          <w:rFonts w:cstheme="minorHAnsi"/>
        </w:rPr>
        <w:t xml:space="preserve">your child. The problem is this </w:t>
      </w:r>
      <w:r w:rsidR="004E5E7F">
        <w:rPr>
          <w:rFonts w:cstheme="minorHAnsi"/>
        </w:rPr>
        <w:t xml:space="preserve">prospective </w:t>
      </w:r>
      <w:r w:rsidR="00F441AC">
        <w:rPr>
          <w:rFonts w:cstheme="minorHAnsi"/>
        </w:rPr>
        <w:t xml:space="preserve">babysitter </w:t>
      </w:r>
      <w:r w:rsidR="004E5E7F">
        <w:rPr>
          <w:rFonts w:cstheme="minorHAnsi"/>
        </w:rPr>
        <w:t xml:space="preserve">unintentionally </w:t>
      </w:r>
      <w:r w:rsidR="00F441AC">
        <w:rPr>
          <w:rFonts w:cstheme="minorHAnsi"/>
        </w:rPr>
        <w:t>makes terrible decisions</w:t>
      </w:r>
      <w:r w:rsidR="00617B69">
        <w:rPr>
          <w:rFonts w:cstheme="minorHAnsi"/>
        </w:rPr>
        <w:t xml:space="preserve"> on very regular basis</w:t>
      </w:r>
      <w:r w:rsidR="00F441AC">
        <w:rPr>
          <w:rFonts w:cstheme="minorHAnsi"/>
        </w:rPr>
        <w:t xml:space="preserve">, ones that </w:t>
      </w:r>
      <w:r w:rsidR="00913D7D">
        <w:rPr>
          <w:rFonts w:cstheme="minorHAnsi"/>
        </w:rPr>
        <w:t>often result</w:t>
      </w:r>
      <w:r w:rsidR="00F441AC">
        <w:rPr>
          <w:rFonts w:cstheme="minorHAnsi"/>
        </w:rPr>
        <w:t xml:space="preserve"> in harming himself and the ones around him. Even though he acts for your good, </w:t>
      </w:r>
      <w:r w:rsidR="00584245">
        <w:rPr>
          <w:rFonts w:cstheme="minorHAnsi"/>
        </w:rPr>
        <w:t>you shouldn’t place your faith in him</w:t>
      </w:r>
      <w:r w:rsidR="004E5E7F">
        <w:rPr>
          <w:rFonts w:cstheme="minorHAnsi"/>
        </w:rPr>
        <w:t xml:space="preserve"> as your next babysitter</w:t>
      </w:r>
      <w:r w:rsidR="00F441AC">
        <w:rPr>
          <w:rFonts w:cstheme="minorHAnsi"/>
        </w:rPr>
        <w:t xml:space="preserve">. </w:t>
      </w:r>
    </w:p>
    <w:p w14:paraId="432B7CC8" w14:textId="10BAC85D"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lastRenderedPageBreak/>
        <w:t xml:space="preserve">The question is how do we know when </w:t>
      </w:r>
      <w:r w:rsidR="00BA2E14">
        <w:rPr>
          <w:rFonts w:cstheme="minorHAnsi"/>
        </w:rPr>
        <w:t>someone is a</w:t>
      </w:r>
      <w:r w:rsidR="004E5E7F">
        <w:rPr>
          <w:rFonts w:cstheme="minorHAnsi"/>
        </w:rPr>
        <w:t xml:space="preserve"> genuine friend who is minimally competent</w:t>
      </w:r>
      <w:r w:rsidR="00BA2E14">
        <w:rPr>
          <w:rFonts w:cstheme="minorHAnsi"/>
        </w:rPr>
        <w:t>?</w:t>
      </w:r>
      <w:r w:rsidR="00136487">
        <w:rPr>
          <w:rFonts w:cstheme="minorHAnsi"/>
        </w:rPr>
        <w:t xml:space="preserve"> </w:t>
      </w:r>
      <w:r w:rsidRPr="007E5564">
        <w:rPr>
          <w:rFonts w:cstheme="minorHAnsi"/>
        </w:rPr>
        <w:t>The problem is real. We</w:t>
      </w:r>
      <w:r w:rsidRPr="007E5564">
        <w:rPr>
          <w:rFonts w:eastAsia="Times New Roman" w:cstheme="minorHAnsi"/>
        </w:rPr>
        <w:t xml:space="preserve">’ve all had the experience of thinking that someone is a </w:t>
      </w:r>
      <w:r w:rsidR="006E0D14">
        <w:rPr>
          <w:rFonts w:eastAsia="Times New Roman" w:cstheme="minorHAnsi"/>
        </w:rPr>
        <w:t>true</w:t>
      </w:r>
      <w:r w:rsidRPr="007E5564">
        <w:rPr>
          <w:rFonts w:eastAsia="Times New Roman" w:cstheme="minorHAnsi"/>
        </w:rPr>
        <w:t xml:space="preserve"> friend only to find out he or she is only using us for something selfish or </w:t>
      </w:r>
      <w:r w:rsidR="006E0D14" w:rsidRPr="007E5564">
        <w:rPr>
          <w:rFonts w:eastAsia="Times New Roman" w:cstheme="minorHAnsi"/>
        </w:rPr>
        <w:t>self-serving</w:t>
      </w:r>
      <w:r w:rsidRPr="007E5564">
        <w:rPr>
          <w:rFonts w:eastAsia="Times New Roman" w:cstheme="minorHAnsi"/>
        </w:rPr>
        <w:t xml:space="preserve">. </w:t>
      </w:r>
      <w:r w:rsidR="0039765A">
        <w:rPr>
          <w:rFonts w:eastAsia="Times New Roman" w:cstheme="minorHAnsi"/>
        </w:rPr>
        <w:t xml:space="preserve">We’ve also </w:t>
      </w:r>
      <w:r w:rsidR="00584245">
        <w:rPr>
          <w:rFonts w:eastAsia="Times New Roman" w:cstheme="minorHAnsi"/>
        </w:rPr>
        <w:t>perhaps</w:t>
      </w:r>
      <w:r w:rsidR="0039765A">
        <w:rPr>
          <w:rFonts w:eastAsia="Times New Roman" w:cstheme="minorHAnsi"/>
        </w:rPr>
        <w:t xml:space="preserve"> had the experience of </w:t>
      </w:r>
      <w:r w:rsidR="00584245">
        <w:rPr>
          <w:rFonts w:eastAsia="Times New Roman" w:cstheme="minorHAnsi"/>
        </w:rPr>
        <w:t xml:space="preserve">a friend who </w:t>
      </w:r>
      <w:r w:rsidR="00210CF4">
        <w:rPr>
          <w:rFonts w:eastAsia="Times New Roman" w:cstheme="minorHAnsi"/>
        </w:rPr>
        <w:t xml:space="preserve">seeks to bless us but seems only able to cause </w:t>
      </w:r>
      <w:r w:rsidR="004E5E7F">
        <w:rPr>
          <w:rFonts w:eastAsia="Times New Roman" w:cstheme="minorHAnsi"/>
        </w:rPr>
        <w:t xml:space="preserve">us </w:t>
      </w:r>
      <w:r w:rsidR="00210CF4">
        <w:rPr>
          <w:rFonts w:eastAsia="Times New Roman" w:cstheme="minorHAnsi"/>
        </w:rPr>
        <w:t xml:space="preserve">trouble. We may even </w:t>
      </w:r>
      <w:r w:rsidR="0039765A">
        <w:rPr>
          <w:rFonts w:eastAsia="Times New Roman" w:cstheme="minorHAnsi"/>
        </w:rPr>
        <w:t>fac</w:t>
      </w:r>
      <w:r w:rsidR="00210CF4">
        <w:rPr>
          <w:rFonts w:eastAsia="Times New Roman" w:cstheme="minorHAnsi"/>
        </w:rPr>
        <w:t xml:space="preserve">e </w:t>
      </w:r>
      <w:r w:rsidR="0039765A">
        <w:rPr>
          <w:rFonts w:eastAsia="Times New Roman" w:cstheme="minorHAnsi"/>
        </w:rPr>
        <w:t xml:space="preserve">the decision of </w:t>
      </w:r>
      <w:r w:rsidR="00617B69">
        <w:rPr>
          <w:rFonts w:eastAsia="Times New Roman" w:cstheme="minorHAnsi"/>
        </w:rPr>
        <w:t xml:space="preserve">whether to </w:t>
      </w:r>
      <w:r w:rsidR="0039765A">
        <w:rPr>
          <w:rFonts w:eastAsia="Times New Roman" w:cstheme="minorHAnsi"/>
        </w:rPr>
        <w:t>ventur</w:t>
      </w:r>
      <w:r w:rsidR="00617B69">
        <w:rPr>
          <w:rFonts w:eastAsia="Times New Roman" w:cstheme="minorHAnsi"/>
        </w:rPr>
        <w:t>e</w:t>
      </w:r>
      <w:r w:rsidR="0039765A">
        <w:rPr>
          <w:rFonts w:eastAsia="Times New Roman" w:cstheme="minorHAnsi"/>
        </w:rPr>
        <w:t xml:space="preserve"> our trust on someone who we </w:t>
      </w:r>
      <w:r w:rsidR="00617B69">
        <w:rPr>
          <w:rFonts w:eastAsia="Times New Roman" w:cstheme="minorHAnsi"/>
        </w:rPr>
        <w:t xml:space="preserve">don’t yet know </w:t>
      </w:r>
      <w:r w:rsidR="0039765A">
        <w:rPr>
          <w:rFonts w:eastAsia="Times New Roman" w:cstheme="minorHAnsi"/>
        </w:rPr>
        <w:t>has our good in mind</w:t>
      </w:r>
      <w:r w:rsidR="00210CF4">
        <w:rPr>
          <w:rFonts w:eastAsia="Times New Roman" w:cstheme="minorHAnsi"/>
        </w:rPr>
        <w:t xml:space="preserve"> or </w:t>
      </w:r>
      <w:r w:rsidR="00617B69">
        <w:rPr>
          <w:rFonts w:eastAsia="Times New Roman" w:cstheme="minorHAnsi"/>
        </w:rPr>
        <w:t>is</w:t>
      </w:r>
      <w:r w:rsidR="00210CF4">
        <w:rPr>
          <w:rFonts w:eastAsia="Times New Roman" w:cstheme="minorHAnsi"/>
        </w:rPr>
        <w:t xml:space="preserve"> competent</w:t>
      </w:r>
      <w:r w:rsidR="0039765A">
        <w:rPr>
          <w:rFonts w:eastAsia="Times New Roman" w:cstheme="minorHAnsi"/>
        </w:rPr>
        <w:t xml:space="preserve">. </w:t>
      </w:r>
      <w:r w:rsidR="004E5E7F">
        <w:rPr>
          <w:rFonts w:eastAsia="Times New Roman" w:cstheme="minorHAnsi"/>
        </w:rPr>
        <w:t>Not knowing if someone is a competent friend is not nearly</w:t>
      </w:r>
      <w:r w:rsidR="00E632D5">
        <w:rPr>
          <w:rFonts w:eastAsia="Times New Roman" w:cstheme="minorHAnsi"/>
        </w:rPr>
        <w:t xml:space="preserve"> </w:t>
      </w:r>
      <w:r w:rsidR="00210CF4">
        <w:rPr>
          <w:rFonts w:eastAsia="Times New Roman" w:cstheme="minorHAnsi"/>
        </w:rPr>
        <w:t>as bad as the previous possibilities</w:t>
      </w:r>
      <w:r w:rsidR="00E632D5">
        <w:rPr>
          <w:rFonts w:eastAsia="Times New Roman" w:cstheme="minorHAnsi"/>
        </w:rPr>
        <w:t>, but it is still not the ideal conditio</w:t>
      </w:r>
      <w:r w:rsidR="00210CF4">
        <w:rPr>
          <w:rFonts w:eastAsia="Times New Roman" w:cstheme="minorHAnsi"/>
        </w:rPr>
        <w:t>n</w:t>
      </w:r>
      <w:r w:rsidR="00E632D5">
        <w:rPr>
          <w:rFonts w:eastAsia="Times New Roman" w:cstheme="minorHAnsi"/>
        </w:rPr>
        <w:t xml:space="preserve"> for faith. </w:t>
      </w:r>
    </w:p>
    <w:p w14:paraId="6284C37D" w14:textId="155E3595" w:rsidR="0039765A" w:rsidRDefault="004E5E7F" w:rsidP="002D2436">
      <w:pPr>
        <w:autoSpaceDE w:val="0"/>
        <w:autoSpaceDN w:val="0"/>
        <w:adjustRightInd w:val="0"/>
        <w:spacing w:line="480" w:lineRule="auto"/>
        <w:ind w:right="-720" w:firstLine="720"/>
        <w:rPr>
          <w:rFonts w:cstheme="minorHAnsi"/>
        </w:rPr>
      </w:pPr>
      <w:r>
        <w:rPr>
          <w:rFonts w:cstheme="minorHAnsi"/>
        </w:rPr>
        <w:t>So h</w:t>
      </w:r>
      <w:r w:rsidR="0096454B" w:rsidRPr="007E5564">
        <w:rPr>
          <w:rFonts w:cstheme="minorHAnsi"/>
        </w:rPr>
        <w:t xml:space="preserve">ere comes evidentialism. </w:t>
      </w:r>
    </w:p>
    <w:p w14:paraId="76941022" w14:textId="77777777" w:rsidR="00617B69" w:rsidRDefault="0096454B" w:rsidP="007B7784">
      <w:pPr>
        <w:autoSpaceDE w:val="0"/>
        <w:autoSpaceDN w:val="0"/>
        <w:adjustRightInd w:val="0"/>
        <w:spacing w:line="480" w:lineRule="auto"/>
        <w:ind w:right="-720" w:firstLine="720"/>
        <w:rPr>
          <w:rFonts w:cstheme="minorHAnsi"/>
        </w:rPr>
      </w:pPr>
      <w:r w:rsidRPr="007E5564">
        <w:rPr>
          <w:rFonts w:cstheme="minorHAnsi"/>
        </w:rPr>
        <w:t xml:space="preserve">It seems </w:t>
      </w:r>
      <w:r w:rsidR="00210CF4">
        <w:rPr>
          <w:rFonts w:cstheme="minorHAnsi"/>
        </w:rPr>
        <w:t>we need to have good reasons for venturing our trust on someone as a competent friend. When we do have good reasons to trust someone as a competent friend, it is good to place our faith in that person</w:t>
      </w:r>
      <w:r w:rsidR="00DB0FBD">
        <w:rPr>
          <w:rFonts w:cstheme="minorHAnsi"/>
        </w:rPr>
        <w:t xml:space="preserve"> in ways appropriate to the relationship</w:t>
      </w:r>
      <w:r w:rsidR="00210CF4">
        <w:rPr>
          <w:rFonts w:cstheme="minorHAnsi"/>
        </w:rPr>
        <w:t xml:space="preserve">. </w:t>
      </w:r>
      <w:r w:rsidR="00BA2E14">
        <w:rPr>
          <w:rFonts w:cstheme="minorHAnsi"/>
        </w:rPr>
        <w:t>The thought is, though</w:t>
      </w:r>
      <w:r w:rsidR="00E632D5">
        <w:rPr>
          <w:rFonts w:cstheme="minorHAnsi"/>
        </w:rPr>
        <w:t xml:space="preserve"> </w:t>
      </w:r>
      <w:r w:rsidR="003C0F24">
        <w:rPr>
          <w:rFonts w:cstheme="minorHAnsi"/>
        </w:rPr>
        <w:t xml:space="preserve">faith is not itself doxastic, </w:t>
      </w:r>
      <w:r w:rsidR="00C3088B">
        <w:rPr>
          <w:rFonts w:cstheme="minorHAnsi"/>
        </w:rPr>
        <w:t>as I</w:t>
      </w:r>
      <w:r w:rsidR="00E632D5">
        <w:rPr>
          <w:rFonts w:cstheme="minorHAnsi"/>
        </w:rPr>
        <w:t xml:space="preserve">’ve </w:t>
      </w:r>
      <w:r w:rsidR="00C3088B">
        <w:rPr>
          <w:rFonts w:cstheme="minorHAnsi"/>
        </w:rPr>
        <w:t>argued</w:t>
      </w:r>
      <w:r w:rsidR="00BA2E14">
        <w:rPr>
          <w:rFonts w:cstheme="minorHAnsi"/>
        </w:rPr>
        <w:t xml:space="preserve"> above</w:t>
      </w:r>
      <w:r w:rsidR="00E632D5">
        <w:rPr>
          <w:rFonts w:cstheme="minorHAnsi"/>
        </w:rPr>
        <w:t>,</w:t>
      </w:r>
      <w:r w:rsidR="003C0F24">
        <w:rPr>
          <w:rFonts w:cstheme="minorHAnsi"/>
        </w:rPr>
        <w:t xml:space="preserve"> the </w:t>
      </w:r>
      <w:r w:rsidR="00136487">
        <w:rPr>
          <w:rFonts w:cstheme="minorHAnsi"/>
        </w:rPr>
        <w:t>conditions which bring</w:t>
      </w:r>
      <w:r w:rsidR="0073149C">
        <w:rPr>
          <w:rFonts w:cstheme="minorHAnsi"/>
        </w:rPr>
        <w:t xml:space="preserve"> about</w:t>
      </w:r>
      <w:r w:rsidR="003C0F24">
        <w:rPr>
          <w:rFonts w:cstheme="minorHAnsi"/>
        </w:rPr>
        <w:t xml:space="preserve"> faith </w:t>
      </w:r>
      <w:r w:rsidR="00E632D5">
        <w:rPr>
          <w:rFonts w:cstheme="minorHAnsi"/>
        </w:rPr>
        <w:t>may indeed be</w:t>
      </w:r>
      <w:r w:rsidR="003C0F24">
        <w:rPr>
          <w:rFonts w:cstheme="minorHAnsi"/>
        </w:rPr>
        <w:t xml:space="preserve"> doxastic. And </w:t>
      </w:r>
      <w:r w:rsidR="00BA2E14">
        <w:rPr>
          <w:rFonts w:cstheme="minorHAnsi"/>
        </w:rPr>
        <w:t xml:space="preserve">what makes faith a </w:t>
      </w:r>
      <w:r w:rsidR="00617B69">
        <w:rPr>
          <w:rFonts w:cstheme="minorHAnsi"/>
        </w:rPr>
        <w:t xml:space="preserve">moral </w:t>
      </w:r>
      <w:r w:rsidR="00BA2E14">
        <w:rPr>
          <w:rFonts w:cstheme="minorHAnsi"/>
        </w:rPr>
        <w:t>good</w:t>
      </w:r>
      <w:r w:rsidR="00DB0FBD">
        <w:rPr>
          <w:rFonts w:cstheme="minorHAnsi"/>
        </w:rPr>
        <w:t>, I suggest,</w:t>
      </w:r>
      <w:r w:rsidR="00BA2E14">
        <w:rPr>
          <w:rFonts w:cstheme="minorHAnsi"/>
        </w:rPr>
        <w:t xml:space="preserve"> is when </w:t>
      </w:r>
      <w:r w:rsidR="000243E6">
        <w:rPr>
          <w:rFonts w:cstheme="minorHAnsi"/>
        </w:rPr>
        <w:t xml:space="preserve">we have </w:t>
      </w:r>
      <w:r w:rsidR="00DB0FBD">
        <w:rPr>
          <w:rFonts w:cstheme="minorHAnsi"/>
        </w:rPr>
        <w:t>good reasons</w:t>
      </w:r>
      <w:r w:rsidR="00617B69">
        <w:rPr>
          <w:rFonts w:cstheme="minorHAnsi"/>
        </w:rPr>
        <w:t xml:space="preserve"> to believe</w:t>
      </w:r>
      <w:r w:rsidR="000243E6">
        <w:rPr>
          <w:rFonts w:cstheme="minorHAnsi"/>
        </w:rPr>
        <w:t xml:space="preserve"> the person in whom we have placed our faith is </w:t>
      </w:r>
      <w:r w:rsidR="00DB0FBD">
        <w:rPr>
          <w:rFonts w:cstheme="minorHAnsi"/>
        </w:rPr>
        <w:t xml:space="preserve">both </w:t>
      </w:r>
      <w:r w:rsidR="000243E6">
        <w:rPr>
          <w:rFonts w:cstheme="minorHAnsi"/>
        </w:rPr>
        <w:t>a genuine friend</w:t>
      </w:r>
      <w:r w:rsidR="00C3088B">
        <w:rPr>
          <w:rFonts w:cstheme="minorHAnsi"/>
        </w:rPr>
        <w:t xml:space="preserve"> </w:t>
      </w:r>
      <w:r w:rsidR="00DB0FBD">
        <w:rPr>
          <w:rFonts w:cstheme="minorHAnsi"/>
        </w:rPr>
        <w:t>and</w:t>
      </w:r>
      <w:r w:rsidR="00C3088B">
        <w:rPr>
          <w:rFonts w:cstheme="minorHAnsi"/>
        </w:rPr>
        <w:t xml:space="preserve"> minimally competent</w:t>
      </w:r>
      <w:r w:rsidR="000243E6">
        <w:rPr>
          <w:rFonts w:cstheme="minorHAnsi"/>
        </w:rPr>
        <w:t xml:space="preserve">. </w:t>
      </w:r>
    </w:p>
    <w:p w14:paraId="5B5BE3AA" w14:textId="4C3B135C" w:rsidR="00E632D5" w:rsidRDefault="00DB0FBD" w:rsidP="007B7784">
      <w:pPr>
        <w:autoSpaceDE w:val="0"/>
        <w:autoSpaceDN w:val="0"/>
        <w:adjustRightInd w:val="0"/>
        <w:spacing w:line="480" w:lineRule="auto"/>
        <w:ind w:right="-720" w:firstLine="720"/>
        <w:rPr>
          <w:rFonts w:cstheme="minorHAnsi"/>
        </w:rPr>
      </w:pPr>
      <w:r>
        <w:rPr>
          <w:rFonts w:cstheme="minorHAnsi"/>
        </w:rPr>
        <w:t xml:space="preserve">How shall we understand good reasons? </w:t>
      </w:r>
      <w:r w:rsidR="00210CF4">
        <w:rPr>
          <w:rFonts w:cstheme="minorHAnsi"/>
        </w:rPr>
        <w:t>In the next section, I will argue that e</w:t>
      </w:r>
      <w:r w:rsidR="00E632D5">
        <w:rPr>
          <w:rFonts w:cstheme="minorHAnsi"/>
        </w:rPr>
        <w:t>videntialism has the right sort of epistemology for making sense of a properly grounded</w:t>
      </w:r>
      <w:r w:rsidR="00210CF4">
        <w:rPr>
          <w:rFonts w:cstheme="minorHAnsi"/>
        </w:rPr>
        <w:t xml:space="preserve"> and </w:t>
      </w:r>
      <w:r w:rsidR="00627106">
        <w:rPr>
          <w:rFonts w:cstheme="minorHAnsi"/>
        </w:rPr>
        <w:t>virtuous</w:t>
      </w:r>
      <w:r w:rsidR="00E632D5">
        <w:rPr>
          <w:rFonts w:cstheme="minorHAnsi"/>
        </w:rPr>
        <w:t xml:space="preserve"> faith. </w:t>
      </w:r>
      <w:r w:rsidR="00C3088B">
        <w:rPr>
          <w:rFonts w:cstheme="minorHAnsi"/>
        </w:rPr>
        <w:t>I will then respond to objection</w:t>
      </w:r>
      <w:r w:rsidR="00617B69">
        <w:rPr>
          <w:rFonts w:cstheme="minorHAnsi"/>
        </w:rPr>
        <w:t>s that say</w:t>
      </w:r>
      <w:r w:rsidR="00C3088B">
        <w:rPr>
          <w:rFonts w:cstheme="minorHAnsi"/>
        </w:rPr>
        <w:t xml:space="preserve"> there are some conditions where faith is a good even though one may lack the relevant evidence. </w:t>
      </w:r>
    </w:p>
    <w:p w14:paraId="25B749C4" w14:textId="77777777" w:rsidR="00D61B06" w:rsidRPr="00475DF6" w:rsidRDefault="00D61B06" w:rsidP="00D61B06">
      <w:pPr>
        <w:spacing w:line="276" w:lineRule="auto"/>
        <w:rPr>
          <w:rFonts w:cstheme="minorHAnsi"/>
          <w:b/>
        </w:rPr>
      </w:pPr>
      <w:r w:rsidRPr="00475DF6">
        <w:rPr>
          <w:rFonts w:cstheme="minorHAnsi"/>
          <w:b/>
        </w:rPr>
        <w:t>The Evidentialist Intuition</w:t>
      </w:r>
    </w:p>
    <w:p w14:paraId="7989DC7D" w14:textId="4B4ACF63" w:rsidR="0096454B" w:rsidRPr="006E2450" w:rsidRDefault="007B7784" w:rsidP="006E2450">
      <w:pPr>
        <w:spacing w:after="0" w:line="480" w:lineRule="auto"/>
        <w:ind w:firstLine="720"/>
        <w:rPr>
          <w:rFonts w:ascii="Times New Roman" w:hAnsi="Times New Roman" w:cs="Times New Roman"/>
          <w:sz w:val="24"/>
          <w:szCs w:val="24"/>
        </w:rPr>
      </w:pPr>
      <w:r>
        <w:rPr>
          <w:rFonts w:cstheme="minorHAnsi"/>
        </w:rPr>
        <w:t>It is common for</w:t>
      </w:r>
      <w:r w:rsidR="00453EB4">
        <w:rPr>
          <w:rFonts w:cstheme="minorHAnsi"/>
        </w:rPr>
        <w:t xml:space="preserve"> people (especially non-philosophers)</w:t>
      </w:r>
      <w:r w:rsidR="007F5E67">
        <w:rPr>
          <w:rFonts w:cstheme="minorHAnsi"/>
        </w:rPr>
        <w:t xml:space="preserve"> </w:t>
      </w:r>
      <w:r w:rsidR="00453EB4">
        <w:rPr>
          <w:rFonts w:cstheme="minorHAnsi"/>
        </w:rPr>
        <w:t xml:space="preserve">to think someone has good reasons </w:t>
      </w:r>
      <w:r>
        <w:rPr>
          <w:rFonts w:cstheme="minorHAnsi"/>
        </w:rPr>
        <w:t>just in case they have</w:t>
      </w:r>
      <w:r w:rsidR="00453EB4">
        <w:rPr>
          <w:rFonts w:cstheme="minorHAnsi"/>
        </w:rPr>
        <w:t xml:space="preserve"> </w:t>
      </w:r>
      <w:r w:rsidR="006E2450">
        <w:rPr>
          <w:rFonts w:cstheme="minorHAnsi"/>
        </w:rPr>
        <w:t>evidence</w:t>
      </w:r>
      <w:r w:rsidR="007F5E67">
        <w:rPr>
          <w:rFonts w:cstheme="minorHAnsi"/>
        </w:rPr>
        <w:t xml:space="preserve">. </w:t>
      </w:r>
      <w:r>
        <w:rPr>
          <w:rFonts w:cstheme="minorHAnsi"/>
        </w:rPr>
        <w:t xml:space="preserve">If a person lacked all evidence for a claim, then </w:t>
      </w:r>
      <w:r w:rsidR="00D53278">
        <w:rPr>
          <w:rFonts w:cstheme="minorHAnsi"/>
        </w:rPr>
        <w:t xml:space="preserve">the natural intuition is </w:t>
      </w:r>
      <w:r>
        <w:rPr>
          <w:rFonts w:cstheme="minorHAnsi"/>
        </w:rPr>
        <w:t xml:space="preserve">to think they lack all reasons. How shall we understand evidence? </w:t>
      </w:r>
      <w:r w:rsidR="006E2450">
        <w:t xml:space="preserve">Kevin McCain characterizes evidence as “good reasons that are indicative of the truth concerning the </w:t>
      </w:r>
      <w:r w:rsidR="006E2450">
        <w:lastRenderedPageBreak/>
        <w:t>proposition that is the object of the doxastic attitude.”</w:t>
      </w:r>
      <w:r w:rsidR="006E2450">
        <w:rPr>
          <w:rStyle w:val="FootnoteReference"/>
        </w:rPr>
        <w:footnoteReference w:id="24"/>
      </w:r>
      <w:r w:rsidR="006E2450">
        <w:t xml:space="preserve"> </w:t>
      </w:r>
      <w:r w:rsidR="00617B69">
        <w:t>Now it is important to note that</w:t>
      </w:r>
      <w:r w:rsidR="004C3F1B">
        <w:t xml:space="preserve"> these good reasons must be had by a subject to be considered evidence. It is, at least, a strained understanding of evidence to think</w:t>
      </w:r>
      <w:r w:rsidR="00617B69">
        <w:t xml:space="preserve"> of</w:t>
      </w:r>
      <w:r w:rsidR="004C3F1B">
        <w:t xml:space="preserve"> it as facts of which one is completely unaware. </w:t>
      </w:r>
      <w:r w:rsidR="00617B69">
        <w:t xml:space="preserve">If a belief </w:t>
      </w:r>
      <w:r w:rsidR="001B56E0">
        <w:t xml:space="preserve">is produced by a cognitive process that tends to produce true belief, then this is a truth indicative reason concerning the belief. But it is not evidence, unless and until the believing subject becomes aware of its being produced in this way. </w:t>
      </w:r>
      <w:r w:rsidR="004C3F1B">
        <w:t>This is to say that</w:t>
      </w:r>
      <w:r w:rsidR="004864FB">
        <w:t xml:space="preserve"> evidence </w:t>
      </w:r>
      <w:r w:rsidR="004C3F1B">
        <w:t xml:space="preserve">necessarily </w:t>
      </w:r>
      <w:r w:rsidR="0037039A">
        <w:rPr>
          <w:rFonts w:cstheme="minorHAnsi"/>
        </w:rPr>
        <w:t>invo</w:t>
      </w:r>
      <w:r w:rsidR="004864FB">
        <w:rPr>
          <w:rFonts w:cstheme="minorHAnsi"/>
        </w:rPr>
        <w:t>lves</w:t>
      </w:r>
      <w:r w:rsidR="0037039A">
        <w:rPr>
          <w:rFonts w:cstheme="minorHAnsi"/>
        </w:rPr>
        <w:t xml:space="preserve"> </w:t>
      </w:r>
      <w:r w:rsidR="00617B69">
        <w:rPr>
          <w:rFonts w:cstheme="minorHAnsi"/>
        </w:rPr>
        <w:t>truth indicative</w:t>
      </w:r>
      <w:r w:rsidR="00A44B6F">
        <w:rPr>
          <w:rFonts w:cstheme="minorHAnsi"/>
        </w:rPr>
        <w:t xml:space="preserve"> </w:t>
      </w:r>
      <w:r w:rsidR="001B56E0">
        <w:rPr>
          <w:rFonts w:cstheme="minorHAnsi"/>
        </w:rPr>
        <w:t xml:space="preserve">reasons or </w:t>
      </w:r>
      <w:r w:rsidR="004864FB">
        <w:rPr>
          <w:rFonts w:cstheme="minorHAnsi"/>
        </w:rPr>
        <w:t xml:space="preserve">facts </w:t>
      </w:r>
      <w:r w:rsidR="004864FB" w:rsidRPr="00453EB4">
        <w:rPr>
          <w:rFonts w:cstheme="minorHAnsi"/>
          <w:i/>
        </w:rPr>
        <w:t>of which one is aware</w:t>
      </w:r>
      <w:r w:rsidR="004864FB">
        <w:rPr>
          <w:rFonts w:cstheme="minorHAnsi"/>
        </w:rPr>
        <w:t>.</w:t>
      </w:r>
      <w:r w:rsidR="00453EB4">
        <w:rPr>
          <w:rFonts w:cstheme="minorHAnsi"/>
        </w:rPr>
        <w:t xml:space="preserve"> </w:t>
      </w:r>
    </w:p>
    <w:p w14:paraId="7AB75DD7" w14:textId="70BE8FE3" w:rsidR="002B355F" w:rsidRDefault="00A44B6F" w:rsidP="00604C00">
      <w:pPr>
        <w:spacing w:line="480" w:lineRule="auto"/>
        <w:ind w:firstLine="720"/>
        <w:rPr>
          <w:rFonts w:cstheme="minorHAnsi"/>
        </w:rPr>
      </w:pPr>
      <w:r>
        <w:rPr>
          <w:rFonts w:cstheme="minorHAnsi"/>
        </w:rPr>
        <w:t>This</w:t>
      </w:r>
      <w:r w:rsidR="002B355F">
        <w:rPr>
          <w:rFonts w:cstheme="minorHAnsi"/>
        </w:rPr>
        <w:t xml:space="preserve"> evidentialist intuition </w:t>
      </w:r>
      <w:r>
        <w:rPr>
          <w:rFonts w:cstheme="minorHAnsi"/>
        </w:rPr>
        <w:t xml:space="preserve">actually </w:t>
      </w:r>
      <w:r w:rsidR="002B355F">
        <w:rPr>
          <w:rFonts w:cstheme="minorHAnsi"/>
        </w:rPr>
        <w:t xml:space="preserve">makes sense of much of our inquiry. The </w:t>
      </w:r>
      <w:r w:rsidR="002D2436">
        <w:rPr>
          <w:rFonts w:cstheme="minorHAnsi"/>
        </w:rPr>
        <w:t xml:space="preserve">plain </w:t>
      </w:r>
      <w:r w:rsidR="002B355F">
        <w:rPr>
          <w:rFonts w:cstheme="minorHAnsi"/>
        </w:rPr>
        <w:t xml:space="preserve">fact is, when we reflect and evaluate </w:t>
      </w:r>
      <w:r w:rsidR="00D61B06">
        <w:rPr>
          <w:rFonts w:cstheme="minorHAnsi"/>
        </w:rPr>
        <w:t>things, our beliefs and what we should do</w:t>
      </w:r>
      <w:r w:rsidR="002B355F">
        <w:rPr>
          <w:rFonts w:cstheme="minorHAnsi"/>
        </w:rPr>
        <w:t xml:space="preserve">, we look to the evidence. </w:t>
      </w:r>
      <w:r w:rsidR="00D61B06">
        <w:rPr>
          <w:rFonts w:cstheme="minorHAnsi"/>
        </w:rPr>
        <w:t>Unfortunately, we don’t always act according to this intuition. But it seems we should. Perhaps the most famous maxim related to evidence is W.K. Clifford’s. He said, “it is wrong always, everywhere, and for anyone, to believe anything upon insufficient evidence.”</w:t>
      </w:r>
      <w:r w:rsidR="00D61B06">
        <w:rPr>
          <w:rStyle w:val="FootnoteReference"/>
        </w:rPr>
        <w:footnoteReference w:id="25"/>
      </w:r>
      <w:r w:rsidR="00D61B06">
        <w:rPr>
          <w:rFonts w:cstheme="minorHAnsi"/>
        </w:rPr>
        <w:t xml:space="preserve"> </w:t>
      </w:r>
      <w:r w:rsidR="002B355F">
        <w:rPr>
          <w:rFonts w:cstheme="minorHAnsi"/>
        </w:rPr>
        <w:t xml:space="preserve">Trent Dougherty has made the point that it is very difficult to avoid the use of evidence even if </w:t>
      </w:r>
      <w:r w:rsidR="00604C00">
        <w:rPr>
          <w:rFonts w:cstheme="minorHAnsi"/>
        </w:rPr>
        <w:t>one is</w:t>
      </w:r>
      <w:r w:rsidR="002B355F">
        <w:rPr>
          <w:rFonts w:cstheme="minorHAnsi"/>
        </w:rPr>
        <w:t xml:space="preserve"> not </w:t>
      </w:r>
      <w:r w:rsidR="00604C00">
        <w:rPr>
          <w:rFonts w:cstheme="minorHAnsi"/>
        </w:rPr>
        <w:t>an evidentialist</w:t>
      </w:r>
      <w:r w:rsidR="002B355F">
        <w:rPr>
          <w:rFonts w:cstheme="minorHAnsi"/>
        </w:rPr>
        <w:t>. He says:</w:t>
      </w:r>
    </w:p>
    <w:p w14:paraId="2968106B" w14:textId="00A15F82" w:rsidR="007B7784" w:rsidRDefault="002B355F" w:rsidP="00D53278">
      <w:pPr>
        <w:spacing w:after="0" w:line="276" w:lineRule="auto"/>
        <w:ind w:left="720"/>
        <w:rPr>
          <w:rFonts w:cstheme="minorHAnsi"/>
        </w:rPr>
      </w:pPr>
      <w:r>
        <w:rPr>
          <w:rFonts w:cstheme="minorHAnsi"/>
        </w:rPr>
        <w:t>Evidence, it seems, is a c</w:t>
      </w:r>
      <w:r w:rsidR="00D53278">
        <w:rPr>
          <w:rFonts w:cstheme="minorHAnsi"/>
        </w:rPr>
        <w:t>entral concern of epistemology…</w:t>
      </w:r>
      <w:r>
        <w:rPr>
          <w:rFonts w:cstheme="minorHAnsi"/>
        </w:rPr>
        <w:t>If reliabilism were true and you wanted to know if the new health care bill was going to be good or bad, what would you do to find out? If contextualism were true, and you wanted to know if a prospective neighborhood was safe, what would you do? If some kind of virtue epistemology were true, and you wanted to know whether diet soda caused cancer, what would you do? In all cases, the answer is obvious: you’d seek out evidence.</w:t>
      </w:r>
      <w:r>
        <w:rPr>
          <w:rStyle w:val="FootnoteReference"/>
        </w:rPr>
        <w:footnoteReference w:id="26"/>
      </w:r>
      <w:r w:rsidR="007B7784">
        <w:rPr>
          <w:rFonts w:cstheme="minorHAnsi"/>
        </w:rPr>
        <w:t xml:space="preserve"> </w:t>
      </w:r>
    </w:p>
    <w:p w14:paraId="3115D9C3" w14:textId="77777777" w:rsidR="00D53278" w:rsidRDefault="00D53278" w:rsidP="007B7784">
      <w:pPr>
        <w:spacing w:line="480" w:lineRule="auto"/>
        <w:rPr>
          <w:rFonts w:cstheme="minorHAnsi"/>
        </w:rPr>
      </w:pPr>
    </w:p>
    <w:p w14:paraId="4DCA619F" w14:textId="5BB93FE6" w:rsidR="002B355F" w:rsidRDefault="002B355F" w:rsidP="007B7784">
      <w:pPr>
        <w:spacing w:line="480" w:lineRule="auto"/>
        <w:rPr>
          <w:rFonts w:cstheme="minorHAnsi"/>
        </w:rPr>
      </w:pPr>
      <w:r>
        <w:rPr>
          <w:rFonts w:cstheme="minorHAnsi"/>
        </w:rPr>
        <w:lastRenderedPageBreak/>
        <w:t xml:space="preserve">We might add to this that if one wished to critique evidentialism, one would </w:t>
      </w:r>
      <w:r w:rsidR="00931167">
        <w:rPr>
          <w:rFonts w:cstheme="minorHAnsi"/>
        </w:rPr>
        <w:t>likely</w:t>
      </w:r>
      <w:r>
        <w:rPr>
          <w:rFonts w:cstheme="minorHAnsi"/>
        </w:rPr>
        <w:t xml:space="preserve"> proffer evidence against the view. </w:t>
      </w:r>
      <w:r w:rsidR="004C3F1B">
        <w:rPr>
          <w:rFonts w:cstheme="minorHAnsi"/>
        </w:rPr>
        <w:t>There’s at least something of a practical tension here</w:t>
      </w:r>
      <w:r w:rsidR="00D53278">
        <w:rPr>
          <w:rFonts w:cstheme="minorHAnsi"/>
        </w:rPr>
        <w:t>, if not an outright contradiction</w:t>
      </w:r>
      <w:r w:rsidR="004C3F1B">
        <w:rPr>
          <w:rFonts w:cstheme="minorHAnsi"/>
        </w:rPr>
        <w:t>.</w:t>
      </w:r>
      <w:r w:rsidR="00D53278">
        <w:rPr>
          <w:rFonts w:cstheme="minorHAnsi"/>
        </w:rPr>
        <w:t xml:space="preserve"> </w:t>
      </w:r>
    </w:p>
    <w:p w14:paraId="0F8A273E" w14:textId="350364D4" w:rsidR="00291D36" w:rsidRDefault="001B56E0" w:rsidP="00291D36">
      <w:pPr>
        <w:spacing w:line="480" w:lineRule="auto"/>
        <w:ind w:firstLine="720"/>
        <w:rPr>
          <w:rFonts w:cstheme="minorHAnsi"/>
        </w:rPr>
      </w:pPr>
      <w:r>
        <w:rPr>
          <w:rFonts w:cstheme="minorHAnsi"/>
        </w:rPr>
        <w:t xml:space="preserve">This intuition has led a </w:t>
      </w:r>
      <w:r w:rsidR="00291D36">
        <w:rPr>
          <w:rFonts w:cstheme="minorHAnsi"/>
        </w:rPr>
        <w:t xml:space="preserve">growing number of philosophers </w:t>
      </w:r>
      <w:r>
        <w:rPr>
          <w:rFonts w:cstheme="minorHAnsi"/>
        </w:rPr>
        <w:t>to</w:t>
      </w:r>
      <w:r w:rsidR="00291D36">
        <w:rPr>
          <w:rFonts w:cstheme="minorHAnsi"/>
        </w:rPr>
        <w:t xml:space="preserve"> see the epistemic status of one’s belief as entirely a matter of one’s evidence. This view has come to be known as </w:t>
      </w:r>
      <w:r w:rsidR="00291D36">
        <w:rPr>
          <w:rFonts w:cstheme="minorHAnsi"/>
          <w:i/>
        </w:rPr>
        <w:t>evidentialism</w:t>
      </w:r>
      <w:r w:rsidR="00291D36">
        <w:rPr>
          <w:rFonts w:cstheme="minorHAnsi"/>
        </w:rPr>
        <w:t xml:space="preserve"> and is commonly associated with the work of Earl Conee and Richard Feldman. They characterize evidentialism with the following thesis they call EJ:</w:t>
      </w:r>
    </w:p>
    <w:p w14:paraId="42103CDB" w14:textId="77777777" w:rsidR="00291D36" w:rsidRDefault="00291D36" w:rsidP="00291D36">
      <w:pPr>
        <w:spacing w:line="276" w:lineRule="auto"/>
        <w:ind w:left="720"/>
        <w:rPr>
          <w:rFonts w:cstheme="minorHAnsi"/>
        </w:rPr>
      </w:pPr>
      <w:r>
        <w:rPr>
          <w:rFonts w:cstheme="minorHAnsi"/>
        </w:rPr>
        <w:t>EJ: Doxastic attitude D toward proposition p is epistemically justified for S at t if and only if having D toward p fits the evidence S has at t.</w:t>
      </w:r>
      <w:r>
        <w:rPr>
          <w:rStyle w:val="FootnoteReference"/>
        </w:rPr>
        <w:footnoteReference w:id="27"/>
      </w:r>
      <w:r>
        <w:rPr>
          <w:rFonts w:cstheme="minorHAnsi"/>
        </w:rPr>
        <w:t xml:space="preserve"> </w:t>
      </w:r>
    </w:p>
    <w:p w14:paraId="7AAFEFF4" w14:textId="659C9868" w:rsidR="00D53278" w:rsidRDefault="00291D36" w:rsidP="00A45F2E">
      <w:pPr>
        <w:spacing w:line="480" w:lineRule="auto"/>
        <w:rPr>
          <w:rFonts w:cstheme="minorHAnsi"/>
        </w:rPr>
      </w:pPr>
      <w:r>
        <w:rPr>
          <w:rFonts w:cstheme="minorHAnsi"/>
        </w:rPr>
        <w:t>The idea is that the epistemic status</w:t>
      </w:r>
      <w:r w:rsidR="00CD532F">
        <w:rPr>
          <w:rFonts w:cstheme="minorHAnsi"/>
        </w:rPr>
        <w:t xml:space="preserve"> of one’s belief</w:t>
      </w:r>
      <w:r w:rsidR="001B56E0">
        <w:rPr>
          <w:rFonts w:cstheme="minorHAnsi"/>
        </w:rPr>
        <w:t xml:space="preserve"> (at a time)</w:t>
      </w:r>
      <w:r>
        <w:rPr>
          <w:rFonts w:cstheme="minorHAnsi"/>
        </w:rPr>
        <w:t xml:space="preserve"> </w:t>
      </w:r>
      <w:r w:rsidR="00CD532F">
        <w:rPr>
          <w:rFonts w:cstheme="minorHAnsi"/>
        </w:rPr>
        <w:t xml:space="preserve">is entirely a matter </w:t>
      </w:r>
      <w:r w:rsidR="002F7134">
        <w:rPr>
          <w:rFonts w:cstheme="minorHAnsi"/>
        </w:rPr>
        <w:t>of one’s belief fitting the evidence</w:t>
      </w:r>
      <w:r w:rsidR="001B56E0">
        <w:rPr>
          <w:rFonts w:cstheme="minorHAnsi"/>
        </w:rPr>
        <w:t xml:space="preserve"> (at that time)</w:t>
      </w:r>
      <w:r w:rsidR="00CD532F">
        <w:rPr>
          <w:rFonts w:cstheme="minorHAnsi"/>
        </w:rPr>
        <w:t xml:space="preserve">. </w:t>
      </w:r>
      <w:r w:rsidR="002F7134">
        <w:rPr>
          <w:rFonts w:cstheme="minorHAnsi"/>
        </w:rPr>
        <w:t xml:space="preserve">Now almost everyone, including Conee and Feldman, immediately </w:t>
      </w:r>
      <w:r w:rsidR="00D53278">
        <w:rPr>
          <w:rFonts w:cstheme="minorHAnsi"/>
        </w:rPr>
        <w:t>say</w:t>
      </w:r>
      <w:r w:rsidR="002F7134">
        <w:rPr>
          <w:rFonts w:cstheme="minorHAnsi"/>
        </w:rPr>
        <w:t xml:space="preserve"> that this thesis is </w:t>
      </w:r>
      <w:r w:rsidR="001B56E0">
        <w:rPr>
          <w:rFonts w:cstheme="minorHAnsi"/>
        </w:rPr>
        <w:t xml:space="preserve">only </w:t>
      </w:r>
      <w:r w:rsidR="002F7134">
        <w:rPr>
          <w:rFonts w:cstheme="minorHAnsi"/>
        </w:rPr>
        <w:t xml:space="preserve">a framework </w:t>
      </w:r>
      <w:r w:rsidR="00D53278">
        <w:rPr>
          <w:rFonts w:cstheme="minorHAnsi"/>
        </w:rPr>
        <w:t>and that there are many things that need to be worked out. Conee and Feldman</w:t>
      </w:r>
      <w:r w:rsidR="002F7134">
        <w:rPr>
          <w:rFonts w:cstheme="minorHAnsi"/>
        </w:rPr>
        <w:t xml:space="preserve"> </w:t>
      </w:r>
      <w:r w:rsidR="00D53278">
        <w:rPr>
          <w:rFonts w:cstheme="minorHAnsi"/>
        </w:rPr>
        <w:t>admit</w:t>
      </w:r>
      <w:r w:rsidR="00A45F2E">
        <w:rPr>
          <w:rFonts w:cstheme="minorHAnsi"/>
        </w:rPr>
        <w:t>,</w:t>
      </w:r>
      <w:r w:rsidR="002F7134">
        <w:rPr>
          <w:rFonts w:cstheme="minorHAnsi"/>
        </w:rPr>
        <w:t xml:space="preserve"> </w:t>
      </w:r>
      <w:r w:rsidR="00A45F2E">
        <w:rPr>
          <w:rFonts w:cstheme="minorHAnsi"/>
        </w:rPr>
        <w:t xml:space="preserve">“There are difficult questions about the concept of fit, as well as about what it is for someone to </w:t>
      </w:r>
      <w:r w:rsidR="00A45F2E" w:rsidRPr="00A45F2E">
        <w:rPr>
          <w:rFonts w:cstheme="minorHAnsi"/>
          <w:i/>
        </w:rPr>
        <w:t>have</w:t>
      </w:r>
      <w:r w:rsidR="00A45F2E">
        <w:rPr>
          <w:rFonts w:cstheme="minorHAnsi"/>
        </w:rPr>
        <w:t xml:space="preserve"> something as evidence, and of what kind of thing constitutes evidence.”</w:t>
      </w:r>
      <w:r w:rsidR="00A45F2E">
        <w:rPr>
          <w:rStyle w:val="FootnoteReference"/>
          <w:rFonts w:cstheme="minorHAnsi"/>
        </w:rPr>
        <w:footnoteReference w:id="28"/>
      </w:r>
      <w:r w:rsidR="00A45F2E">
        <w:rPr>
          <w:rFonts w:cstheme="minorHAnsi"/>
        </w:rPr>
        <w:t xml:space="preserve"> We can’t, of course, get all of that done here</w:t>
      </w:r>
      <w:r w:rsidR="00931167">
        <w:rPr>
          <w:rFonts w:cstheme="minorHAnsi"/>
        </w:rPr>
        <w:t>.</w:t>
      </w:r>
      <w:r w:rsidR="00931167">
        <w:rPr>
          <w:rStyle w:val="FootnoteReference"/>
          <w:rFonts w:cstheme="minorHAnsi"/>
        </w:rPr>
        <w:footnoteReference w:id="29"/>
      </w:r>
      <w:r w:rsidR="00931167">
        <w:rPr>
          <w:rFonts w:cstheme="minorHAnsi"/>
        </w:rPr>
        <w:t xml:space="preserve"> We are going to have to leave much of this as intuitively grasped.</w:t>
      </w:r>
      <w:r w:rsidR="00A45F2E">
        <w:rPr>
          <w:rFonts w:cstheme="minorHAnsi"/>
        </w:rPr>
        <w:t xml:space="preserve"> </w:t>
      </w:r>
      <w:r w:rsidR="00931167">
        <w:rPr>
          <w:rFonts w:cstheme="minorHAnsi"/>
        </w:rPr>
        <w:t xml:space="preserve">My primary claim is that evidentialism </w:t>
      </w:r>
      <w:r w:rsidR="001B56E0">
        <w:rPr>
          <w:rFonts w:cstheme="minorHAnsi"/>
        </w:rPr>
        <w:t xml:space="preserve">is the right view for the epistemology of virtuous faith since evidentialism </w:t>
      </w:r>
      <w:r w:rsidR="00931167">
        <w:rPr>
          <w:rFonts w:cstheme="minorHAnsi"/>
        </w:rPr>
        <w:t>provides subjective assurance that can be action guiding.</w:t>
      </w:r>
      <w:r w:rsidR="00A60D80">
        <w:rPr>
          <w:rStyle w:val="FootnoteReference"/>
          <w:rFonts w:cstheme="minorHAnsi"/>
        </w:rPr>
        <w:footnoteReference w:id="30"/>
      </w:r>
      <w:r w:rsidR="00931167">
        <w:rPr>
          <w:rFonts w:cstheme="minorHAnsi"/>
        </w:rPr>
        <w:t xml:space="preserve"> </w:t>
      </w:r>
    </w:p>
    <w:p w14:paraId="7FC0E112" w14:textId="1212E1B1" w:rsidR="004C3F1B" w:rsidRDefault="001B56E0" w:rsidP="00D53278">
      <w:pPr>
        <w:spacing w:line="480" w:lineRule="auto"/>
        <w:ind w:firstLine="720"/>
        <w:rPr>
          <w:rFonts w:cstheme="minorHAnsi"/>
        </w:rPr>
      </w:pPr>
      <w:r>
        <w:rPr>
          <w:rFonts w:cstheme="minorHAnsi"/>
        </w:rPr>
        <w:lastRenderedPageBreak/>
        <w:t xml:space="preserve">To see this, we should note that purely external factors </w:t>
      </w:r>
      <w:r w:rsidR="00D53278" w:rsidRPr="007E5564">
        <w:rPr>
          <w:rFonts w:cstheme="minorHAnsi"/>
        </w:rPr>
        <w:t>do</w:t>
      </w:r>
      <w:r>
        <w:rPr>
          <w:rFonts w:cstheme="minorHAnsi"/>
        </w:rPr>
        <w:t xml:space="preserve"> not</w:t>
      </w:r>
      <w:r w:rsidR="00D53278" w:rsidRPr="007E5564">
        <w:rPr>
          <w:rFonts w:eastAsia="Times New Roman" w:cstheme="minorHAnsi"/>
        </w:rPr>
        <w:t xml:space="preserve"> seem to do us any good </w:t>
      </w:r>
      <w:r>
        <w:rPr>
          <w:rFonts w:eastAsia="Times New Roman" w:cstheme="minorHAnsi"/>
        </w:rPr>
        <w:t xml:space="preserve">when we are </w:t>
      </w:r>
      <w:r w:rsidR="00D53278">
        <w:rPr>
          <w:rFonts w:eastAsia="Times New Roman" w:cstheme="minorHAnsi"/>
        </w:rPr>
        <w:t>deciding in whom we should place our faith</w:t>
      </w:r>
      <w:r w:rsidR="00D53278" w:rsidRPr="007E5564">
        <w:rPr>
          <w:rFonts w:eastAsia="Times New Roman" w:cstheme="minorHAnsi"/>
        </w:rPr>
        <w:t xml:space="preserve">. Having a belief formed by </w:t>
      </w:r>
      <w:r w:rsidR="00D53278">
        <w:rPr>
          <w:rFonts w:eastAsia="Times New Roman" w:cstheme="minorHAnsi"/>
        </w:rPr>
        <w:t xml:space="preserve">a </w:t>
      </w:r>
      <w:r w:rsidR="00D53278" w:rsidRPr="007E5564">
        <w:rPr>
          <w:rFonts w:eastAsia="Times New Roman" w:cstheme="minorHAnsi"/>
        </w:rPr>
        <w:t xml:space="preserve">reliable or proper functioning cognitive processes </w:t>
      </w:r>
      <w:r w:rsidR="00D53278">
        <w:rPr>
          <w:rFonts w:eastAsia="Times New Roman" w:cstheme="minorHAnsi"/>
        </w:rPr>
        <w:t xml:space="preserve">or having a belief that tracks the truth </w:t>
      </w:r>
      <w:r w:rsidR="00D53278" w:rsidRPr="007E5564">
        <w:rPr>
          <w:rFonts w:eastAsia="Times New Roman" w:cstheme="minorHAnsi"/>
        </w:rPr>
        <w:t xml:space="preserve">doesn’t seem to help us when we are making the decision to </w:t>
      </w:r>
      <w:r w:rsidR="004C1431">
        <w:rPr>
          <w:rFonts w:eastAsia="Times New Roman" w:cstheme="minorHAnsi"/>
        </w:rPr>
        <w:t>venture our wellbeing on someone</w:t>
      </w:r>
      <w:r w:rsidR="00D53278" w:rsidRPr="007E5564">
        <w:rPr>
          <w:rFonts w:eastAsia="Times New Roman" w:cstheme="minorHAnsi"/>
        </w:rPr>
        <w:t xml:space="preserve">. </w:t>
      </w:r>
      <w:r w:rsidR="00D53278">
        <w:rPr>
          <w:rFonts w:eastAsia="Times New Roman" w:cstheme="minorHAnsi"/>
        </w:rPr>
        <w:t xml:space="preserve">For all one knows, from the subject’s perspective, the beliefs came from one’s </w:t>
      </w:r>
      <w:r>
        <w:rPr>
          <w:rFonts w:eastAsia="Times New Roman" w:cstheme="minorHAnsi"/>
        </w:rPr>
        <w:t xml:space="preserve">unconsciously </w:t>
      </w:r>
      <w:r w:rsidR="00D53278">
        <w:rPr>
          <w:rFonts w:eastAsia="Times New Roman" w:cstheme="minorHAnsi"/>
        </w:rPr>
        <w:t xml:space="preserve">wishing </w:t>
      </w:r>
      <w:r w:rsidR="004C1431">
        <w:rPr>
          <w:rFonts w:eastAsia="Times New Roman" w:cstheme="minorHAnsi"/>
        </w:rPr>
        <w:t>someone to be a good and competent friend</w:t>
      </w:r>
      <w:r w:rsidR="00D53278">
        <w:rPr>
          <w:rFonts w:eastAsia="Times New Roman" w:cstheme="minorHAnsi"/>
        </w:rPr>
        <w:t xml:space="preserve">. </w:t>
      </w:r>
      <w:r w:rsidR="00D53278">
        <w:rPr>
          <w:rFonts w:cstheme="minorHAnsi"/>
        </w:rPr>
        <w:t>By contrast, evidence is action guiding because it comes to us, in a way, from within our subjective perspective</w:t>
      </w:r>
      <w:r w:rsidR="004C1431">
        <w:rPr>
          <w:rFonts w:cstheme="minorHAnsi"/>
        </w:rPr>
        <w:t xml:space="preserve">. </w:t>
      </w:r>
      <w:r w:rsidR="001977A5">
        <w:rPr>
          <w:rFonts w:cstheme="minorHAnsi"/>
        </w:rPr>
        <w:t xml:space="preserve">They are, by definition, facts of which we are aware and can be used in our practical decision making. </w:t>
      </w:r>
      <w:r w:rsidR="004C1431">
        <w:rPr>
          <w:rFonts w:cstheme="minorHAnsi"/>
        </w:rPr>
        <w:t>We should be quick to add that t</w:t>
      </w:r>
      <w:r w:rsidR="00CD532F">
        <w:rPr>
          <w:rFonts w:cstheme="minorHAnsi"/>
        </w:rPr>
        <w:t xml:space="preserve">here may be non-evidential ways a belief is good. A belief </w:t>
      </w:r>
      <w:r w:rsidR="004C1431">
        <w:rPr>
          <w:rFonts w:cstheme="minorHAnsi"/>
        </w:rPr>
        <w:t xml:space="preserve">being </w:t>
      </w:r>
      <w:r w:rsidR="00CD532F">
        <w:rPr>
          <w:rFonts w:cstheme="minorHAnsi"/>
        </w:rPr>
        <w:t>formed by a reliable belief forming p</w:t>
      </w:r>
      <w:r w:rsidR="00A45F2E">
        <w:rPr>
          <w:rFonts w:cstheme="minorHAnsi"/>
        </w:rPr>
        <w:t xml:space="preserve">rocess </w:t>
      </w:r>
      <w:r w:rsidR="001977A5">
        <w:rPr>
          <w:rFonts w:cstheme="minorHAnsi"/>
        </w:rPr>
        <w:t>is</w:t>
      </w:r>
      <w:r w:rsidR="00A45F2E">
        <w:rPr>
          <w:rFonts w:cstheme="minorHAnsi"/>
        </w:rPr>
        <w:t>, it</w:t>
      </w:r>
      <w:r w:rsidR="00CD532F">
        <w:rPr>
          <w:rFonts w:cstheme="minorHAnsi"/>
        </w:rPr>
        <w:t xml:space="preserve"> seems</w:t>
      </w:r>
      <w:r w:rsidR="001977A5">
        <w:rPr>
          <w:rFonts w:cstheme="minorHAnsi"/>
        </w:rPr>
        <w:t xml:space="preserve"> to me</w:t>
      </w:r>
      <w:r w:rsidR="00A45F2E">
        <w:rPr>
          <w:rFonts w:cstheme="minorHAnsi"/>
        </w:rPr>
        <w:t>,</w:t>
      </w:r>
      <w:r w:rsidR="00CD532F">
        <w:rPr>
          <w:rFonts w:cstheme="minorHAnsi"/>
        </w:rPr>
        <w:t xml:space="preserve"> </w:t>
      </w:r>
      <w:r w:rsidR="001977A5">
        <w:rPr>
          <w:rFonts w:cstheme="minorHAnsi"/>
        </w:rPr>
        <w:t>a genuine good.</w:t>
      </w:r>
      <w:r w:rsidR="00CD532F">
        <w:rPr>
          <w:rFonts w:cstheme="minorHAnsi"/>
        </w:rPr>
        <w:t xml:space="preserve"> </w:t>
      </w:r>
      <w:r w:rsidR="001977A5">
        <w:rPr>
          <w:rFonts w:cstheme="minorHAnsi"/>
        </w:rPr>
        <w:t>B</w:t>
      </w:r>
      <w:r w:rsidR="00CD532F">
        <w:rPr>
          <w:rFonts w:cstheme="minorHAnsi"/>
        </w:rPr>
        <w:t>ut if one is unaware of this good, then it does very little from an evaluative standpoint</w:t>
      </w:r>
      <w:r w:rsidR="004C1431">
        <w:rPr>
          <w:rFonts w:cstheme="minorHAnsi"/>
        </w:rPr>
        <w:t xml:space="preserve"> o</w:t>
      </w:r>
      <w:r w:rsidR="00A45F2E">
        <w:rPr>
          <w:rFonts w:cstheme="minorHAnsi"/>
        </w:rPr>
        <w:t xml:space="preserve">n whom we should </w:t>
      </w:r>
      <w:r w:rsidR="004C1431">
        <w:rPr>
          <w:rFonts w:cstheme="minorHAnsi"/>
        </w:rPr>
        <w:t>venture ourselves</w:t>
      </w:r>
      <w:r w:rsidR="00CD532F">
        <w:rPr>
          <w:rFonts w:cstheme="minorHAnsi"/>
        </w:rPr>
        <w:t xml:space="preserve">. </w:t>
      </w:r>
    </w:p>
    <w:p w14:paraId="2AFEF1E8" w14:textId="59CC592B" w:rsidR="00CD532F" w:rsidRDefault="00CD532F" w:rsidP="00CD532F">
      <w:pPr>
        <w:spacing w:line="480" w:lineRule="auto"/>
        <w:ind w:firstLine="720"/>
        <w:rPr>
          <w:rFonts w:cstheme="minorHAnsi"/>
        </w:rPr>
      </w:pPr>
      <w:r>
        <w:rPr>
          <w:rFonts w:cstheme="minorHAnsi"/>
        </w:rPr>
        <w:t>Laurence BonJour made this point many years ago in his famous case of Norman the Clairvoyant</w:t>
      </w:r>
      <w:r w:rsidR="00A45F2E">
        <w:rPr>
          <w:rFonts w:cstheme="minorHAnsi"/>
        </w:rPr>
        <w:t>. He said:</w:t>
      </w:r>
    </w:p>
    <w:p w14:paraId="53F2E66B" w14:textId="77777777" w:rsidR="002B355F" w:rsidRPr="004479A6" w:rsidRDefault="002B355F" w:rsidP="002B355F">
      <w:pPr>
        <w:spacing w:line="276" w:lineRule="auto"/>
        <w:ind w:left="720"/>
        <w:rPr>
          <w:rFonts w:eastAsia="Batang" w:cstheme="minorHAnsi"/>
        </w:rPr>
      </w:pPr>
      <w:r w:rsidRPr="004479A6">
        <w:rPr>
          <w:rFonts w:eastAsia="Batang" w:cstheme="minorHAnsi"/>
        </w:rPr>
        <w:t>Norman, under certain conditions which usually obtain, is a completely reliable clairvoyant with respect to ce</w:t>
      </w:r>
      <w:r>
        <w:rPr>
          <w:rFonts w:eastAsia="Batang" w:cstheme="minorHAnsi"/>
        </w:rPr>
        <w:t xml:space="preserve">rtain kinds of subject matter. </w:t>
      </w:r>
      <w:r w:rsidRPr="004479A6">
        <w:rPr>
          <w:rFonts w:eastAsia="Batang" w:cstheme="minorHAnsi"/>
        </w:rPr>
        <w:t>He possesses no evidence or reasons of any kind for or against the general possibility of such a cognitive power or for or against th</w:t>
      </w:r>
      <w:r>
        <w:rPr>
          <w:rFonts w:eastAsia="Batang" w:cstheme="minorHAnsi"/>
        </w:rPr>
        <w:t xml:space="preserve">e thesis that he possesses it. </w:t>
      </w:r>
      <w:r w:rsidRPr="004479A6">
        <w:rPr>
          <w:rFonts w:eastAsia="Batang" w:cstheme="minorHAnsi"/>
        </w:rPr>
        <w:t>One day Norman comes to believe that the President is in New York City, though he has no evidence eith</w:t>
      </w:r>
      <w:r>
        <w:rPr>
          <w:rFonts w:eastAsia="Batang" w:cstheme="minorHAnsi"/>
        </w:rPr>
        <w:t xml:space="preserve">er for or against this belief. </w:t>
      </w:r>
      <w:r w:rsidRPr="004479A6">
        <w:rPr>
          <w:rFonts w:eastAsia="Batang" w:cstheme="minorHAnsi"/>
        </w:rPr>
        <w:t>In fact, the belief is true and results from his clairvoyant power under circumstances in which it is completely reliable.</w:t>
      </w:r>
      <w:r w:rsidRPr="004479A6">
        <w:rPr>
          <w:rStyle w:val="FootnoteReference"/>
          <w:rFonts w:eastAsia="Batang" w:cstheme="minorHAnsi"/>
        </w:rPr>
        <w:footnoteReference w:id="31"/>
      </w:r>
    </w:p>
    <w:p w14:paraId="523FD957" w14:textId="4FEED3E3" w:rsidR="004C1431" w:rsidRDefault="002B355F" w:rsidP="002E0E63">
      <w:pPr>
        <w:spacing w:line="480" w:lineRule="auto"/>
        <w:rPr>
          <w:rFonts w:eastAsia="Batang" w:cstheme="minorHAnsi"/>
        </w:rPr>
      </w:pPr>
      <w:r w:rsidRPr="004479A6">
        <w:rPr>
          <w:rFonts w:eastAsia="Batang" w:cstheme="minorHAnsi"/>
        </w:rPr>
        <w:t xml:space="preserve">BonJour goes on to make the point that we, </w:t>
      </w:r>
      <w:r>
        <w:rPr>
          <w:rFonts w:eastAsia="Batang" w:cstheme="minorHAnsi"/>
        </w:rPr>
        <w:t>as epistemologists</w:t>
      </w:r>
      <w:r w:rsidRPr="004479A6">
        <w:rPr>
          <w:rFonts w:eastAsia="Batang" w:cstheme="minorHAnsi"/>
        </w:rPr>
        <w:t>, know that the belief has something going for it in the sense that it will non-accidently turn out true (or</w:t>
      </w:r>
      <w:r w:rsidR="00CD532F">
        <w:rPr>
          <w:rFonts w:eastAsia="Batang" w:cstheme="minorHAnsi"/>
        </w:rPr>
        <w:t>,</w:t>
      </w:r>
      <w:r w:rsidRPr="004479A6">
        <w:rPr>
          <w:rFonts w:eastAsia="Batang" w:cstheme="minorHAnsi"/>
        </w:rPr>
        <w:t xml:space="preserve"> </w:t>
      </w:r>
      <w:r>
        <w:rPr>
          <w:rFonts w:eastAsia="Batang" w:cstheme="minorHAnsi"/>
        </w:rPr>
        <w:t>at least</w:t>
      </w:r>
      <w:r w:rsidR="00CD532F">
        <w:rPr>
          <w:rFonts w:eastAsia="Batang" w:cstheme="minorHAnsi"/>
        </w:rPr>
        <w:t>,</w:t>
      </w:r>
      <w:r>
        <w:rPr>
          <w:rFonts w:eastAsia="Batang" w:cstheme="minorHAnsi"/>
        </w:rPr>
        <w:t xml:space="preserve"> likely to be true).</w:t>
      </w:r>
      <w:r w:rsidRPr="004479A6">
        <w:rPr>
          <w:rFonts w:eastAsia="Batang" w:cstheme="minorHAnsi"/>
        </w:rPr>
        <w:t xml:space="preserve"> But</w:t>
      </w:r>
      <w:r w:rsidR="004C1431">
        <w:rPr>
          <w:rFonts w:eastAsia="Batang" w:cstheme="minorHAnsi"/>
        </w:rPr>
        <w:t xml:space="preserve">, </w:t>
      </w:r>
      <w:r w:rsidR="004C1431" w:rsidRPr="004479A6">
        <w:rPr>
          <w:rFonts w:eastAsia="Batang" w:cstheme="minorHAnsi"/>
        </w:rPr>
        <w:t>BonJour says</w:t>
      </w:r>
      <w:r w:rsidR="004C1431">
        <w:rPr>
          <w:rFonts w:eastAsia="Batang" w:cstheme="minorHAnsi"/>
        </w:rPr>
        <w:t>,</w:t>
      </w:r>
      <w:r w:rsidRPr="004479A6">
        <w:rPr>
          <w:rFonts w:eastAsia="Batang" w:cstheme="minorHAnsi"/>
        </w:rPr>
        <w:t xml:space="preserve"> </w:t>
      </w:r>
      <w:r w:rsidR="004C1431">
        <w:rPr>
          <w:rFonts w:eastAsia="Batang" w:cstheme="minorHAnsi"/>
        </w:rPr>
        <w:t>“</w:t>
      </w:r>
      <w:r w:rsidRPr="004479A6">
        <w:rPr>
          <w:rFonts w:eastAsia="Batang" w:cstheme="minorHAnsi"/>
        </w:rPr>
        <w:t xml:space="preserve">how is this supposed to justify Norman's belief? From his subjective perspective, it </w:t>
      </w:r>
      <w:r w:rsidRPr="004479A6">
        <w:rPr>
          <w:rFonts w:eastAsia="Batang" w:cstheme="minorHAnsi"/>
          <w:i/>
          <w:iCs/>
        </w:rPr>
        <w:t>is</w:t>
      </w:r>
      <w:r w:rsidRPr="004479A6">
        <w:rPr>
          <w:rFonts w:eastAsia="Batang" w:cstheme="minorHAnsi"/>
        </w:rPr>
        <w:t xml:space="preserve"> an accident that the belief is true.”</w:t>
      </w:r>
      <w:r w:rsidRPr="004479A6">
        <w:rPr>
          <w:rStyle w:val="FootnoteReference"/>
          <w:rFonts w:eastAsia="Batang" w:cstheme="minorHAnsi"/>
        </w:rPr>
        <w:footnoteReference w:id="32"/>
      </w:r>
      <w:r>
        <w:rPr>
          <w:rFonts w:eastAsia="Batang" w:cstheme="minorHAnsi"/>
        </w:rPr>
        <w:t xml:space="preserve"> Norman has no </w:t>
      </w:r>
      <w:r w:rsidR="00797C1D">
        <w:rPr>
          <w:rFonts w:eastAsia="Batang" w:cstheme="minorHAnsi"/>
        </w:rPr>
        <w:t>assurance</w:t>
      </w:r>
      <w:r>
        <w:rPr>
          <w:rFonts w:eastAsia="Batang" w:cstheme="minorHAnsi"/>
        </w:rPr>
        <w:t xml:space="preserve"> at all to think </w:t>
      </w:r>
      <w:r>
        <w:rPr>
          <w:rFonts w:eastAsia="Batang" w:cstheme="minorHAnsi"/>
        </w:rPr>
        <w:lastRenderedPageBreak/>
        <w:t xml:space="preserve">his belief has anything at all going for it. Though </w:t>
      </w:r>
      <w:r w:rsidRPr="004479A6">
        <w:rPr>
          <w:rFonts w:eastAsia="Batang" w:cstheme="minorHAnsi"/>
        </w:rPr>
        <w:t>BonJour’s argument was directed at process reliabilism</w:t>
      </w:r>
      <w:r>
        <w:rPr>
          <w:rFonts w:eastAsia="Batang" w:cstheme="minorHAnsi"/>
        </w:rPr>
        <w:t xml:space="preserve">, </w:t>
      </w:r>
      <w:r w:rsidRPr="004479A6">
        <w:rPr>
          <w:rFonts w:eastAsia="Batang" w:cstheme="minorHAnsi"/>
        </w:rPr>
        <w:t xml:space="preserve">it seems easy enough to generalize the point to </w:t>
      </w:r>
      <w:r>
        <w:rPr>
          <w:rFonts w:eastAsia="Batang" w:cstheme="minorHAnsi"/>
        </w:rPr>
        <w:t>any externalist theory</w:t>
      </w:r>
      <w:r w:rsidR="00797C1D">
        <w:rPr>
          <w:rFonts w:eastAsia="Batang" w:cstheme="minorHAnsi"/>
        </w:rPr>
        <w:t xml:space="preserve"> in epistemology</w:t>
      </w:r>
      <w:r>
        <w:rPr>
          <w:rFonts w:eastAsia="Batang" w:cstheme="minorHAnsi"/>
        </w:rPr>
        <w:t xml:space="preserve">. </w:t>
      </w:r>
      <w:r w:rsidR="00797C1D">
        <w:rPr>
          <w:rFonts w:eastAsia="Batang" w:cstheme="minorHAnsi"/>
        </w:rPr>
        <w:t>A view that posits external conditions as crucial for justification will fail</w:t>
      </w:r>
      <w:r w:rsidR="004C1431">
        <w:rPr>
          <w:rFonts w:eastAsia="Batang" w:cstheme="minorHAnsi"/>
        </w:rPr>
        <w:t>, by definition,</w:t>
      </w:r>
      <w:r w:rsidR="00797C1D">
        <w:rPr>
          <w:rFonts w:eastAsia="Batang" w:cstheme="minorHAnsi"/>
        </w:rPr>
        <w:t xml:space="preserve"> to provide assurance from the subject’s perspective. </w:t>
      </w:r>
      <w:r w:rsidR="004C1431">
        <w:rPr>
          <w:rFonts w:eastAsia="Batang" w:cstheme="minorHAnsi"/>
        </w:rPr>
        <w:t xml:space="preserve">Thus, even if one is lucky enough to have properly functioning cognitive faculties and also satisfy a host of positive external conditions, it does little good when we make the choice in whom we place our faith. One needs </w:t>
      </w:r>
      <w:r w:rsidR="001977A5">
        <w:rPr>
          <w:rFonts w:eastAsia="Batang" w:cstheme="minorHAnsi"/>
        </w:rPr>
        <w:t xml:space="preserve">the relevant </w:t>
      </w:r>
      <w:r w:rsidR="004C1431">
        <w:rPr>
          <w:rFonts w:eastAsia="Batang" w:cstheme="minorHAnsi"/>
        </w:rPr>
        <w:t xml:space="preserve">evidence to have properly grounded faith.  </w:t>
      </w:r>
    </w:p>
    <w:p w14:paraId="5ECF7EDC" w14:textId="10C711AD" w:rsidR="00E632D5" w:rsidRDefault="00E632D5" w:rsidP="00B80E85">
      <w:pPr>
        <w:spacing w:line="480" w:lineRule="auto"/>
        <w:ind w:firstLine="720"/>
        <w:rPr>
          <w:rFonts w:eastAsia="Times New Roman" w:cstheme="minorHAnsi"/>
        </w:rPr>
      </w:pPr>
      <w:r w:rsidRPr="007E5564">
        <w:rPr>
          <w:rFonts w:cstheme="minorHAnsi"/>
        </w:rPr>
        <w:t xml:space="preserve">But </w:t>
      </w:r>
      <w:r>
        <w:rPr>
          <w:rFonts w:cstheme="minorHAnsi"/>
        </w:rPr>
        <w:t>what constitutes</w:t>
      </w:r>
      <w:r w:rsidRPr="007E5564">
        <w:rPr>
          <w:rFonts w:cstheme="minorHAnsi"/>
        </w:rPr>
        <w:t xml:space="preserve"> evidence of </w:t>
      </w:r>
      <w:r w:rsidR="00A44B6F">
        <w:rPr>
          <w:rFonts w:cstheme="minorHAnsi"/>
        </w:rPr>
        <w:t xml:space="preserve">competence and </w:t>
      </w:r>
      <w:r w:rsidRPr="007E5564">
        <w:rPr>
          <w:rFonts w:cstheme="minorHAnsi"/>
        </w:rPr>
        <w:t xml:space="preserve">good intentions? </w:t>
      </w:r>
      <w:r w:rsidR="00A44B6F">
        <w:rPr>
          <w:rFonts w:cstheme="minorHAnsi"/>
        </w:rPr>
        <w:t>Again, i</w:t>
      </w:r>
      <w:r>
        <w:rPr>
          <w:rFonts w:cstheme="minorHAnsi"/>
        </w:rPr>
        <w:t xml:space="preserve">t’s </w:t>
      </w:r>
      <w:r w:rsidRPr="007E5564">
        <w:rPr>
          <w:rFonts w:cstheme="minorHAnsi"/>
        </w:rPr>
        <w:t xml:space="preserve">painfully obvious </w:t>
      </w:r>
      <w:r>
        <w:rPr>
          <w:rFonts w:cstheme="minorHAnsi"/>
        </w:rPr>
        <w:t>that we can</w:t>
      </w:r>
      <w:r w:rsidRPr="007E5564">
        <w:rPr>
          <w:rFonts w:cstheme="minorHAnsi"/>
        </w:rPr>
        <w:t xml:space="preserve">, at times, be wrong about </w:t>
      </w:r>
      <w:r w:rsidR="00A44B6F">
        <w:rPr>
          <w:rFonts w:cstheme="minorHAnsi"/>
        </w:rPr>
        <w:t>these things in our relationships</w:t>
      </w:r>
      <w:r w:rsidRPr="007E5564">
        <w:rPr>
          <w:rFonts w:cstheme="minorHAnsi"/>
        </w:rPr>
        <w:t xml:space="preserve">. However, it is </w:t>
      </w:r>
      <w:r>
        <w:rPr>
          <w:rFonts w:cstheme="minorHAnsi"/>
        </w:rPr>
        <w:t xml:space="preserve">also </w:t>
      </w:r>
      <w:r w:rsidRPr="007E5564">
        <w:rPr>
          <w:rFonts w:cstheme="minorHAnsi"/>
        </w:rPr>
        <w:t xml:space="preserve">clear that we can </w:t>
      </w:r>
      <w:r w:rsidR="00A44B6F">
        <w:rPr>
          <w:rFonts w:cstheme="minorHAnsi"/>
        </w:rPr>
        <w:t>often approach our relationships with due care and rationally place our faith in others. How do we do this? It seems we</w:t>
      </w:r>
      <w:r w:rsidR="001977A5">
        <w:rPr>
          <w:rFonts w:cstheme="minorHAnsi"/>
        </w:rPr>
        <w:t xml:space="preserve"> often</w:t>
      </w:r>
      <w:r w:rsidR="00A44B6F">
        <w:rPr>
          <w:rFonts w:cstheme="minorHAnsi"/>
        </w:rPr>
        <w:t xml:space="preserve"> </w:t>
      </w:r>
      <w:r w:rsidR="00A60D80">
        <w:rPr>
          <w:rFonts w:cstheme="minorHAnsi"/>
        </w:rPr>
        <w:t>recognize</w:t>
      </w:r>
      <w:r w:rsidRPr="007E5564">
        <w:rPr>
          <w:rFonts w:cstheme="minorHAnsi"/>
        </w:rPr>
        <w:t xml:space="preserve"> instances </w:t>
      </w:r>
      <w:r w:rsidR="00A60D80">
        <w:rPr>
          <w:rFonts w:cstheme="minorHAnsi"/>
        </w:rPr>
        <w:t>of</w:t>
      </w:r>
      <w:r w:rsidRPr="007E5564">
        <w:rPr>
          <w:rFonts w:cstheme="minorHAnsi"/>
        </w:rPr>
        <w:t xml:space="preserve"> self-sacrifice </w:t>
      </w:r>
      <w:r w:rsidR="00A60D80">
        <w:rPr>
          <w:rFonts w:cstheme="minorHAnsi"/>
        </w:rPr>
        <w:t>for</w:t>
      </w:r>
      <w:r w:rsidRPr="007E5564">
        <w:rPr>
          <w:rFonts w:cstheme="minorHAnsi"/>
        </w:rPr>
        <w:t xml:space="preserve"> our wellbeing</w:t>
      </w:r>
      <w:r w:rsidR="00A60D80">
        <w:rPr>
          <w:rFonts w:cstheme="minorHAnsi"/>
        </w:rPr>
        <w:t xml:space="preserve"> </w:t>
      </w:r>
      <w:r w:rsidR="001977A5">
        <w:rPr>
          <w:rFonts w:cstheme="minorHAnsi"/>
        </w:rPr>
        <w:t>and this strongly implies</w:t>
      </w:r>
      <w:r w:rsidR="00A60D80">
        <w:rPr>
          <w:rFonts w:cstheme="minorHAnsi"/>
        </w:rPr>
        <w:t xml:space="preserve"> one is a genuine friend</w:t>
      </w:r>
      <w:r w:rsidRPr="007E5564">
        <w:rPr>
          <w:rFonts w:cstheme="minorHAnsi"/>
        </w:rPr>
        <w:t>. We may not be able to know with certainty that one has our interest in mind, but we can see behavior that is best explained by a friend</w:t>
      </w:r>
      <w:r w:rsidRPr="007E5564">
        <w:rPr>
          <w:rFonts w:eastAsia="Times New Roman" w:cstheme="minorHAnsi"/>
        </w:rPr>
        <w:t>’s having a good will</w:t>
      </w:r>
      <w:r>
        <w:rPr>
          <w:rFonts w:eastAsia="Times New Roman" w:cstheme="minorHAnsi"/>
        </w:rPr>
        <w:t xml:space="preserve"> toward us</w:t>
      </w:r>
      <w:r w:rsidR="00A60D80">
        <w:rPr>
          <w:rFonts w:eastAsia="Times New Roman" w:cstheme="minorHAnsi"/>
        </w:rPr>
        <w:t xml:space="preserve"> in a competent way</w:t>
      </w:r>
      <w:r w:rsidRPr="007E5564">
        <w:rPr>
          <w:rFonts w:eastAsia="Times New Roman" w:cstheme="minorHAnsi"/>
        </w:rPr>
        <w:t xml:space="preserve">. </w:t>
      </w:r>
      <w:r>
        <w:rPr>
          <w:rFonts w:eastAsia="Times New Roman" w:cstheme="minorHAnsi"/>
        </w:rPr>
        <w:t>We can also have testimonial affirmations of a good will towards us. Talk is of course cheap, as they say</w:t>
      </w:r>
      <w:r w:rsidR="001977A5">
        <w:rPr>
          <w:rFonts w:eastAsia="Times New Roman" w:cstheme="minorHAnsi"/>
        </w:rPr>
        <w:t>; but it is not worthless</w:t>
      </w:r>
      <w:r>
        <w:rPr>
          <w:rFonts w:eastAsia="Times New Roman" w:cstheme="minorHAnsi"/>
        </w:rPr>
        <w:t xml:space="preserve">. </w:t>
      </w:r>
      <w:r w:rsidR="001977A5">
        <w:rPr>
          <w:rFonts w:eastAsia="Times New Roman" w:cstheme="minorHAnsi"/>
        </w:rPr>
        <w:t>S</w:t>
      </w:r>
      <w:r>
        <w:rPr>
          <w:rFonts w:eastAsia="Times New Roman" w:cstheme="minorHAnsi"/>
        </w:rPr>
        <w:t xml:space="preserve">aying it is so along with the demonstration of self-sacrificial behavior stands as </w:t>
      </w:r>
      <w:r w:rsidR="00A60D80">
        <w:rPr>
          <w:rFonts w:eastAsia="Times New Roman" w:cstheme="minorHAnsi"/>
        </w:rPr>
        <w:t xml:space="preserve">good </w:t>
      </w:r>
      <w:r>
        <w:rPr>
          <w:rFonts w:eastAsia="Times New Roman" w:cstheme="minorHAnsi"/>
        </w:rPr>
        <w:t>evidence</w:t>
      </w:r>
      <w:r w:rsidR="00A60D80">
        <w:rPr>
          <w:rFonts w:eastAsia="Times New Roman" w:cstheme="minorHAnsi"/>
        </w:rPr>
        <w:t xml:space="preserve"> </w:t>
      </w:r>
      <w:r w:rsidR="001977A5">
        <w:rPr>
          <w:rFonts w:eastAsia="Times New Roman" w:cstheme="minorHAnsi"/>
        </w:rPr>
        <w:t>that one is</w:t>
      </w:r>
      <w:r w:rsidR="00A60D80">
        <w:rPr>
          <w:rFonts w:eastAsia="Times New Roman" w:cstheme="minorHAnsi"/>
        </w:rPr>
        <w:t xml:space="preserve"> a competent friend.</w:t>
      </w:r>
    </w:p>
    <w:p w14:paraId="1C17BDF0" w14:textId="2BB4AE59" w:rsidR="0056327B" w:rsidRPr="00B80E85" w:rsidRDefault="0056327B" w:rsidP="00B80E85">
      <w:pPr>
        <w:spacing w:line="480" w:lineRule="auto"/>
        <w:ind w:firstLine="720"/>
        <w:rPr>
          <w:rFonts w:eastAsia="Batang" w:cstheme="minorHAnsi"/>
        </w:rPr>
      </w:pPr>
      <w:r>
        <w:rPr>
          <w:rFonts w:eastAsia="Batang" w:cstheme="minorHAnsi"/>
        </w:rPr>
        <w:t xml:space="preserve">So putting this together, </w:t>
      </w:r>
      <w:r w:rsidR="001977A5">
        <w:rPr>
          <w:rFonts w:eastAsia="Batang" w:cstheme="minorHAnsi"/>
        </w:rPr>
        <w:t xml:space="preserve">in the context of a relationship and coming from a good will, </w:t>
      </w:r>
      <w:r>
        <w:rPr>
          <w:rFonts w:eastAsia="Batang" w:cstheme="minorHAnsi"/>
        </w:rPr>
        <w:t>virtuous faith is ventured trust</w:t>
      </w:r>
      <w:r w:rsidR="0059524B">
        <w:rPr>
          <w:rFonts w:eastAsia="Batang" w:cstheme="minorHAnsi"/>
        </w:rPr>
        <w:t xml:space="preserve"> </w:t>
      </w:r>
      <w:r>
        <w:rPr>
          <w:rFonts w:eastAsia="Batang" w:cstheme="minorHAnsi"/>
        </w:rPr>
        <w:t>in someone we have evidence to believe is a competent friend, according to the kind of relationship it is. We ought to venture trust in someone when we have evidence of his or her good intentions towards us and his or her competence</w:t>
      </w:r>
      <w:r w:rsidR="0059524B">
        <w:rPr>
          <w:rFonts w:eastAsia="Batang" w:cstheme="minorHAnsi"/>
        </w:rPr>
        <w:t xml:space="preserve"> to come through for us in ways that matter to our wellbeing according to what’s appropriate to the relationship</w:t>
      </w:r>
      <w:r>
        <w:rPr>
          <w:rFonts w:eastAsia="Batang" w:cstheme="minorHAnsi"/>
        </w:rPr>
        <w:t xml:space="preserve">.  </w:t>
      </w:r>
    </w:p>
    <w:p w14:paraId="70FAD3E1" w14:textId="7C656E03" w:rsidR="00E632D5" w:rsidRPr="00420FA8" w:rsidRDefault="00420FA8" w:rsidP="00420FA8">
      <w:pPr>
        <w:autoSpaceDE w:val="0"/>
        <w:autoSpaceDN w:val="0"/>
        <w:adjustRightInd w:val="0"/>
        <w:spacing w:line="480" w:lineRule="auto"/>
        <w:ind w:right="-720"/>
        <w:rPr>
          <w:rFonts w:cstheme="minorHAnsi"/>
          <w:b/>
        </w:rPr>
      </w:pPr>
      <w:r w:rsidRPr="00420FA8">
        <w:rPr>
          <w:rFonts w:cstheme="minorHAnsi"/>
          <w:b/>
        </w:rPr>
        <w:t>Evidence for Christian Faith</w:t>
      </w:r>
    </w:p>
    <w:p w14:paraId="198B7C96" w14:textId="77777777"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lastRenderedPageBreak/>
        <w:t xml:space="preserve">So now here comes Christian faith. </w:t>
      </w:r>
    </w:p>
    <w:p w14:paraId="17373CDB" w14:textId="4022623B"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t>The ultimate evidence of a good will, it seems to me, is the willingness to give one</w:t>
      </w:r>
      <w:r w:rsidRPr="007E5564">
        <w:rPr>
          <w:rFonts w:eastAsia="Times New Roman" w:cstheme="minorHAnsi"/>
        </w:rPr>
        <w:t>’s life for the other. Again, talk is cheap. It is easy to say one will give one’s life, but doing</w:t>
      </w:r>
      <w:r w:rsidR="006E0D14">
        <w:rPr>
          <w:rFonts w:eastAsia="Times New Roman" w:cstheme="minorHAnsi"/>
        </w:rPr>
        <w:t xml:space="preserve"> so</w:t>
      </w:r>
      <w:r w:rsidRPr="007E5564">
        <w:rPr>
          <w:rFonts w:eastAsia="Times New Roman" w:cstheme="minorHAnsi"/>
        </w:rPr>
        <w:t xml:space="preserve"> is another matter. There is an epistemic gap in knowing the other is willing to give his or her life. I’ve, so far, not to been called upon to literally give my life for my family, though I am indeed willing to do so. How does my wife and kids know (or just</w:t>
      </w:r>
      <w:r w:rsidR="00D37AEA">
        <w:rPr>
          <w:rFonts w:eastAsia="Times New Roman" w:cstheme="minorHAnsi"/>
        </w:rPr>
        <w:t>ifiedly believe) that I would? As I’ve said, t</w:t>
      </w:r>
      <w:r w:rsidRPr="007E5564">
        <w:rPr>
          <w:rFonts w:eastAsia="Times New Roman" w:cstheme="minorHAnsi"/>
        </w:rPr>
        <w:t xml:space="preserve">hey would need some significant evidence of this and </w:t>
      </w:r>
      <w:r w:rsidR="0059524B">
        <w:rPr>
          <w:rFonts w:eastAsia="Times New Roman" w:cstheme="minorHAnsi"/>
        </w:rPr>
        <w:t>it</w:t>
      </w:r>
      <w:r w:rsidRPr="007E5564">
        <w:rPr>
          <w:rFonts w:eastAsia="Times New Roman" w:cstheme="minorHAnsi"/>
        </w:rPr>
        <w:t xml:space="preserve"> would </w:t>
      </w:r>
      <w:r w:rsidR="00D37AEA">
        <w:rPr>
          <w:rFonts w:eastAsia="Times New Roman" w:cstheme="minorHAnsi"/>
        </w:rPr>
        <w:t>involve seeing me living self sacrificially for them</w:t>
      </w:r>
      <w:r w:rsidRPr="007E5564">
        <w:rPr>
          <w:rFonts w:eastAsia="Times New Roman" w:cstheme="minorHAnsi"/>
        </w:rPr>
        <w:t xml:space="preserve">. </w:t>
      </w:r>
    </w:p>
    <w:p w14:paraId="3D265BC9" w14:textId="257DFC43" w:rsidR="0096454B" w:rsidRPr="007E5564" w:rsidRDefault="00D37AEA" w:rsidP="00143EDD">
      <w:pPr>
        <w:autoSpaceDE w:val="0"/>
        <w:autoSpaceDN w:val="0"/>
        <w:adjustRightInd w:val="0"/>
        <w:spacing w:line="480" w:lineRule="auto"/>
        <w:ind w:right="-720" w:firstLine="720"/>
        <w:rPr>
          <w:rFonts w:cstheme="minorHAnsi"/>
        </w:rPr>
      </w:pPr>
      <w:r>
        <w:rPr>
          <w:rFonts w:cstheme="minorHAnsi"/>
        </w:rPr>
        <w:t>We have in Christianity the claim that God</w:t>
      </w:r>
      <w:r w:rsidR="0059524B">
        <w:rPr>
          <w:rFonts w:cstheme="minorHAnsi"/>
        </w:rPr>
        <w:t>, the omnipotently competent one,</w:t>
      </w:r>
      <w:r>
        <w:rPr>
          <w:rFonts w:cstheme="minorHAnsi"/>
        </w:rPr>
        <w:t xml:space="preserve"> loves us and gave his son for us. If this is true, then this certainly calls for a response of venturing our </w:t>
      </w:r>
      <w:r w:rsidR="0059524B">
        <w:rPr>
          <w:rFonts w:cstheme="minorHAnsi"/>
        </w:rPr>
        <w:t xml:space="preserve">entire </w:t>
      </w:r>
      <w:r>
        <w:rPr>
          <w:rFonts w:cstheme="minorHAnsi"/>
        </w:rPr>
        <w:t xml:space="preserve">lives on </w:t>
      </w:r>
      <w:r w:rsidR="00464580">
        <w:rPr>
          <w:rFonts w:cstheme="minorHAnsi"/>
        </w:rPr>
        <w:t>his</w:t>
      </w:r>
      <w:r>
        <w:rPr>
          <w:rFonts w:cstheme="minorHAnsi"/>
        </w:rPr>
        <w:t xml:space="preserve"> good will in ways appropriate to the relationship. </w:t>
      </w:r>
      <w:r w:rsidR="0059524B">
        <w:rPr>
          <w:rFonts w:cstheme="minorHAnsi"/>
        </w:rPr>
        <w:t xml:space="preserve">Here again, we need reasons to believe that this sort of God is there. </w:t>
      </w:r>
      <w:r w:rsidR="004B7F89">
        <w:rPr>
          <w:rFonts w:cstheme="minorHAnsi"/>
        </w:rPr>
        <w:t xml:space="preserve">Is there significant evidence for the Christian claim? I would suggest there is. There are </w:t>
      </w:r>
      <w:r w:rsidR="0096454B" w:rsidRPr="007E5564">
        <w:rPr>
          <w:rFonts w:cstheme="minorHAnsi"/>
        </w:rPr>
        <w:t>at least three broad lines of evidence to justify the Christian</w:t>
      </w:r>
      <w:r w:rsidR="0096454B" w:rsidRPr="007E5564">
        <w:rPr>
          <w:rFonts w:eastAsia="Times New Roman" w:cstheme="minorHAnsi"/>
        </w:rPr>
        <w:t xml:space="preserve">’s belief </w:t>
      </w:r>
      <w:r w:rsidR="0059524B">
        <w:rPr>
          <w:rFonts w:eastAsia="Times New Roman" w:cstheme="minorHAnsi"/>
        </w:rPr>
        <w:t>that a</w:t>
      </w:r>
      <w:r w:rsidR="004B7F89">
        <w:rPr>
          <w:rFonts w:eastAsia="Times New Roman" w:cstheme="minorHAnsi"/>
        </w:rPr>
        <w:t>n</w:t>
      </w:r>
      <w:r w:rsidR="0059524B">
        <w:rPr>
          <w:rFonts w:eastAsia="Times New Roman" w:cstheme="minorHAnsi"/>
        </w:rPr>
        <w:t xml:space="preserve"> </w:t>
      </w:r>
      <w:r w:rsidR="004B7F89">
        <w:rPr>
          <w:rFonts w:eastAsia="Times New Roman" w:cstheme="minorHAnsi"/>
        </w:rPr>
        <w:t>omni-</w:t>
      </w:r>
      <w:r w:rsidR="0059524B">
        <w:rPr>
          <w:rFonts w:eastAsia="Times New Roman" w:cstheme="minorHAnsi"/>
        </w:rPr>
        <w:t xml:space="preserve">competent </w:t>
      </w:r>
      <w:r w:rsidR="0096454B" w:rsidRPr="007E5564">
        <w:rPr>
          <w:rFonts w:eastAsia="Times New Roman" w:cstheme="minorHAnsi"/>
        </w:rPr>
        <w:t xml:space="preserve">God has our good in mind. </w:t>
      </w:r>
      <w:r w:rsidR="00464580">
        <w:rPr>
          <w:rFonts w:eastAsia="Times New Roman" w:cstheme="minorHAnsi"/>
        </w:rPr>
        <w:t xml:space="preserve">I of course do not have the space to fully develop these but </w:t>
      </w:r>
      <w:r w:rsidR="0094308A">
        <w:rPr>
          <w:rFonts w:eastAsia="Times New Roman" w:cstheme="minorHAnsi"/>
        </w:rPr>
        <w:t>must</w:t>
      </w:r>
      <w:r w:rsidR="00464580">
        <w:rPr>
          <w:rFonts w:eastAsia="Times New Roman" w:cstheme="minorHAnsi"/>
        </w:rPr>
        <w:t xml:space="preserve"> only indicate how the </w:t>
      </w:r>
      <w:r w:rsidR="0094308A">
        <w:rPr>
          <w:rFonts w:eastAsia="Times New Roman" w:cstheme="minorHAnsi"/>
        </w:rPr>
        <w:t xml:space="preserve">line of </w:t>
      </w:r>
      <w:r w:rsidR="00464580">
        <w:rPr>
          <w:rFonts w:eastAsia="Times New Roman" w:cstheme="minorHAnsi"/>
        </w:rPr>
        <w:t xml:space="preserve">evidence may </w:t>
      </w:r>
      <w:r w:rsidR="0094308A">
        <w:rPr>
          <w:rFonts w:eastAsia="Times New Roman" w:cstheme="minorHAnsi"/>
        </w:rPr>
        <w:t>go</w:t>
      </w:r>
      <w:r w:rsidR="00464580">
        <w:rPr>
          <w:rFonts w:eastAsia="Times New Roman" w:cstheme="minorHAnsi"/>
        </w:rPr>
        <w:t xml:space="preserve">. </w:t>
      </w:r>
    </w:p>
    <w:p w14:paraId="039C1563" w14:textId="70175A9D"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t xml:space="preserve">First, </w:t>
      </w:r>
      <w:r w:rsidR="00A60D80">
        <w:rPr>
          <w:rFonts w:cstheme="minorHAnsi"/>
        </w:rPr>
        <w:t>there is evidence for the existence of God of a certain sort, name</w:t>
      </w:r>
      <w:r w:rsidR="0059524B">
        <w:rPr>
          <w:rFonts w:cstheme="minorHAnsi"/>
        </w:rPr>
        <w:t xml:space="preserve">ly, a </w:t>
      </w:r>
      <w:r w:rsidR="004B7F89">
        <w:rPr>
          <w:rFonts w:cstheme="minorHAnsi"/>
        </w:rPr>
        <w:t>God of maximal perfections</w:t>
      </w:r>
      <w:r w:rsidR="0059524B">
        <w:rPr>
          <w:rFonts w:cstheme="minorHAnsi"/>
        </w:rPr>
        <w:t>. This</w:t>
      </w:r>
      <w:r w:rsidR="00A60D80">
        <w:rPr>
          <w:rFonts w:cstheme="minorHAnsi"/>
        </w:rPr>
        <w:t xml:space="preserve"> would</w:t>
      </w:r>
      <w:r w:rsidR="0059524B">
        <w:rPr>
          <w:rFonts w:cstheme="minorHAnsi"/>
        </w:rPr>
        <w:t xml:space="preserve"> include</w:t>
      </w:r>
      <w:r w:rsidR="00A60D80">
        <w:rPr>
          <w:rFonts w:cstheme="minorHAnsi"/>
        </w:rPr>
        <w:t xml:space="preserve"> the moral arguments for the existence of God </w:t>
      </w:r>
      <w:r w:rsidR="0026469E">
        <w:rPr>
          <w:rFonts w:cstheme="minorHAnsi"/>
        </w:rPr>
        <w:t>along with</w:t>
      </w:r>
      <w:r w:rsidR="00A60D80">
        <w:rPr>
          <w:rFonts w:cstheme="minorHAnsi"/>
        </w:rPr>
        <w:t xml:space="preserve"> the claims that follow from a perfect being theological approach. </w:t>
      </w:r>
      <w:r w:rsidRPr="007E5564">
        <w:rPr>
          <w:rFonts w:cstheme="minorHAnsi"/>
        </w:rPr>
        <w:t>The belief is not just that God does the good, and not just that God always does the good, but that God</w:t>
      </w:r>
      <w:r w:rsidR="0059524B">
        <w:rPr>
          <w:rFonts w:cstheme="minorHAnsi"/>
        </w:rPr>
        <w:t>, as the source of moral goodness,</w:t>
      </w:r>
      <w:r w:rsidRPr="007E5564">
        <w:rPr>
          <w:rFonts w:cstheme="minorHAnsi"/>
        </w:rPr>
        <w:t xml:space="preserve"> could do nothing other than the good. </w:t>
      </w:r>
      <w:r w:rsidR="00464580">
        <w:rPr>
          <w:rFonts w:cstheme="minorHAnsi"/>
        </w:rPr>
        <w:t>This means that we may not always be able</w:t>
      </w:r>
      <w:r w:rsidR="0059524B">
        <w:rPr>
          <w:rFonts w:cstheme="minorHAnsi"/>
        </w:rPr>
        <w:t xml:space="preserve"> to</w:t>
      </w:r>
      <w:r w:rsidR="00464580">
        <w:rPr>
          <w:rFonts w:cstheme="minorHAnsi"/>
        </w:rPr>
        <w:t xml:space="preserve"> easily pick out or describe how God is acting in morally appropriate ways. So if God is there, then God is good. </w:t>
      </w:r>
    </w:p>
    <w:p w14:paraId="15ED2D37" w14:textId="7972B61D" w:rsidR="0096454B" w:rsidRPr="007E5564" w:rsidRDefault="0096454B" w:rsidP="00143EDD">
      <w:pPr>
        <w:autoSpaceDE w:val="0"/>
        <w:autoSpaceDN w:val="0"/>
        <w:adjustRightInd w:val="0"/>
        <w:spacing w:line="480" w:lineRule="auto"/>
        <w:ind w:right="-720" w:firstLine="720"/>
        <w:rPr>
          <w:rFonts w:cstheme="minorHAnsi"/>
        </w:rPr>
      </w:pPr>
      <w:r w:rsidRPr="007E5564">
        <w:rPr>
          <w:rFonts w:cstheme="minorHAnsi"/>
        </w:rPr>
        <w:t xml:space="preserve">Secondly, </w:t>
      </w:r>
      <w:r w:rsidR="00464580">
        <w:rPr>
          <w:rFonts w:cstheme="minorHAnsi"/>
        </w:rPr>
        <w:t xml:space="preserve">there is evidence of God’s work in history culminating with the </w:t>
      </w:r>
      <w:r w:rsidRPr="007E5564">
        <w:rPr>
          <w:rFonts w:cstheme="minorHAnsi"/>
        </w:rPr>
        <w:t xml:space="preserve">person and work of Jesus, the divine Son of God. This </w:t>
      </w:r>
      <w:r w:rsidR="00464580">
        <w:rPr>
          <w:rFonts w:cstheme="minorHAnsi"/>
        </w:rPr>
        <w:t xml:space="preserve">would include </w:t>
      </w:r>
      <w:r w:rsidRPr="007E5564">
        <w:rPr>
          <w:rFonts w:cstheme="minorHAnsi"/>
        </w:rPr>
        <w:t xml:space="preserve">the evidence for </w:t>
      </w:r>
      <w:r w:rsidR="00464580" w:rsidRPr="007E5564">
        <w:rPr>
          <w:rFonts w:cstheme="minorHAnsi"/>
        </w:rPr>
        <w:t xml:space="preserve">the </w:t>
      </w:r>
      <w:r w:rsidR="0059524B">
        <w:rPr>
          <w:rFonts w:cstheme="minorHAnsi"/>
        </w:rPr>
        <w:t xml:space="preserve">reliability of the </w:t>
      </w:r>
      <w:r w:rsidR="00464580" w:rsidRPr="007E5564">
        <w:rPr>
          <w:rFonts w:cstheme="minorHAnsi"/>
        </w:rPr>
        <w:t>biblical text</w:t>
      </w:r>
      <w:r w:rsidR="0059524B">
        <w:rPr>
          <w:rFonts w:cstheme="minorHAnsi"/>
        </w:rPr>
        <w:t>s, the evidence that the claims of Jesus are grounded in eyewitness testimony</w:t>
      </w:r>
      <w:r w:rsidR="00464580" w:rsidRPr="007E5564">
        <w:rPr>
          <w:rFonts w:cstheme="minorHAnsi"/>
        </w:rPr>
        <w:t>,</w:t>
      </w:r>
      <w:r w:rsidR="00464580">
        <w:rPr>
          <w:rFonts w:cstheme="minorHAnsi"/>
        </w:rPr>
        <w:t xml:space="preserve"> </w:t>
      </w:r>
      <w:r w:rsidRPr="007E5564">
        <w:rPr>
          <w:rFonts w:cstheme="minorHAnsi"/>
        </w:rPr>
        <w:t xml:space="preserve">and the historical evidence for </w:t>
      </w:r>
      <w:r w:rsidRPr="007E5564">
        <w:rPr>
          <w:rFonts w:cstheme="minorHAnsi"/>
        </w:rPr>
        <w:lastRenderedPageBreak/>
        <w:t>Jesus</w:t>
      </w:r>
      <w:r w:rsidRPr="007E5564">
        <w:rPr>
          <w:rFonts w:eastAsia="Times New Roman" w:cstheme="minorHAnsi"/>
        </w:rPr>
        <w:t xml:space="preserve">’s resurrection. </w:t>
      </w:r>
      <w:r w:rsidR="0026469E">
        <w:rPr>
          <w:rFonts w:eastAsia="Times New Roman" w:cstheme="minorHAnsi"/>
        </w:rPr>
        <w:t xml:space="preserve">The good news of the Christian gospel is that Jesus came precisely for our wellbeing. </w:t>
      </w:r>
    </w:p>
    <w:p w14:paraId="46EC5DF0" w14:textId="3C31A2CB" w:rsidR="0096454B" w:rsidRPr="0026469E" w:rsidRDefault="0096454B" w:rsidP="0026469E">
      <w:pPr>
        <w:autoSpaceDE w:val="0"/>
        <w:autoSpaceDN w:val="0"/>
        <w:adjustRightInd w:val="0"/>
        <w:spacing w:line="480" w:lineRule="auto"/>
        <w:ind w:right="-720" w:firstLine="720"/>
        <w:rPr>
          <w:rFonts w:eastAsia="Times New Roman" w:cstheme="minorHAnsi"/>
        </w:rPr>
      </w:pPr>
      <w:r w:rsidRPr="007E5564">
        <w:rPr>
          <w:rFonts w:cstheme="minorHAnsi"/>
        </w:rPr>
        <w:t>Third, there may be evidence of God</w:t>
      </w:r>
      <w:r w:rsidRPr="007E5564">
        <w:rPr>
          <w:rFonts w:eastAsia="Times New Roman" w:cstheme="minorHAnsi"/>
        </w:rPr>
        <w:t xml:space="preserve">’s work in our lives. </w:t>
      </w:r>
      <w:r w:rsidR="0094308A">
        <w:rPr>
          <w:rFonts w:eastAsia="Times New Roman" w:cstheme="minorHAnsi"/>
        </w:rPr>
        <w:t xml:space="preserve">We should take the advice of the Psalmist to </w:t>
      </w:r>
      <w:r w:rsidR="0026469E">
        <w:rPr>
          <w:rFonts w:eastAsia="Times New Roman" w:cstheme="minorHAnsi"/>
        </w:rPr>
        <w:t>“</w:t>
      </w:r>
      <w:r w:rsidR="0094308A">
        <w:rPr>
          <w:rFonts w:eastAsia="Times New Roman" w:cstheme="minorHAnsi"/>
        </w:rPr>
        <w:t>taste and see that the Lord is good</w:t>
      </w:r>
      <w:r w:rsidR="0026469E">
        <w:rPr>
          <w:rFonts w:eastAsia="Times New Roman" w:cstheme="minorHAnsi"/>
        </w:rPr>
        <w:t>” (Ps. 34:8).</w:t>
      </w:r>
      <w:r w:rsidR="0094308A">
        <w:rPr>
          <w:rFonts w:eastAsia="Times New Roman" w:cstheme="minorHAnsi"/>
        </w:rPr>
        <w:t xml:space="preserve"> </w:t>
      </w:r>
      <w:r w:rsidRPr="007E5564">
        <w:rPr>
          <w:rFonts w:eastAsia="Times New Roman" w:cstheme="minorHAnsi"/>
        </w:rPr>
        <w:t xml:space="preserve">There is </w:t>
      </w:r>
      <w:r w:rsidR="0026469E">
        <w:rPr>
          <w:rFonts w:eastAsia="Times New Roman" w:cstheme="minorHAnsi"/>
        </w:rPr>
        <w:t xml:space="preserve">perhaps </w:t>
      </w:r>
      <w:r w:rsidRPr="007E5564">
        <w:rPr>
          <w:rFonts w:eastAsia="Times New Roman" w:cstheme="minorHAnsi"/>
        </w:rPr>
        <w:t xml:space="preserve">no better way to know God loves </w:t>
      </w:r>
      <w:r w:rsidR="0026469E">
        <w:rPr>
          <w:rFonts w:eastAsia="Times New Roman" w:cstheme="minorHAnsi"/>
        </w:rPr>
        <w:t xml:space="preserve">us </w:t>
      </w:r>
      <w:r w:rsidRPr="007E5564">
        <w:rPr>
          <w:rFonts w:eastAsia="Times New Roman" w:cstheme="minorHAnsi"/>
        </w:rPr>
        <w:t xml:space="preserve">and has good intentions towards </w:t>
      </w:r>
      <w:r w:rsidR="0026469E">
        <w:rPr>
          <w:rFonts w:eastAsia="Times New Roman" w:cstheme="minorHAnsi"/>
        </w:rPr>
        <w:t>us</w:t>
      </w:r>
      <w:r w:rsidRPr="007E5564">
        <w:rPr>
          <w:rFonts w:eastAsia="Times New Roman" w:cstheme="minorHAnsi"/>
        </w:rPr>
        <w:t xml:space="preserve"> than by personally experiencing </w:t>
      </w:r>
      <w:r w:rsidR="001F3521">
        <w:rPr>
          <w:rFonts w:eastAsia="Times New Roman" w:cstheme="minorHAnsi"/>
        </w:rPr>
        <w:t>God’s love</w:t>
      </w:r>
      <w:r w:rsidR="0026469E">
        <w:rPr>
          <w:rFonts w:eastAsia="Times New Roman" w:cstheme="minorHAnsi"/>
        </w:rPr>
        <w:t xml:space="preserve"> for ourselves. </w:t>
      </w:r>
    </w:p>
    <w:p w14:paraId="7BEBBA22" w14:textId="77777777" w:rsidR="0056327B" w:rsidRDefault="0096454B" w:rsidP="001F3521">
      <w:pPr>
        <w:autoSpaceDE w:val="0"/>
        <w:autoSpaceDN w:val="0"/>
        <w:adjustRightInd w:val="0"/>
        <w:spacing w:line="480" w:lineRule="auto"/>
        <w:ind w:right="-720" w:firstLine="720"/>
        <w:rPr>
          <w:rFonts w:eastAsia="Times New Roman" w:cstheme="minorHAnsi"/>
        </w:rPr>
      </w:pPr>
      <w:r w:rsidRPr="007E5564">
        <w:rPr>
          <w:rFonts w:cstheme="minorHAnsi"/>
        </w:rPr>
        <w:t xml:space="preserve">The typical objection here is that these are the evidences of philosophers. Paradigm instances of faith would involve </w:t>
      </w:r>
      <w:r w:rsidRPr="007E5564">
        <w:rPr>
          <w:rFonts w:eastAsia="Times New Roman" w:cstheme="minorHAnsi"/>
        </w:rPr>
        <w:t>“regular folks,” those without formal training in philosophy</w:t>
      </w:r>
      <w:r w:rsidR="0026469E">
        <w:rPr>
          <w:rFonts w:eastAsia="Times New Roman" w:cstheme="minorHAnsi"/>
        </w:rPr>
        <w:t xml:space="preserve"> including my grandma and Jesus’s disciples</w:t>
      </w:r>
      <w:r w:rsidRPr="007E5564">
        <w:rPr>
          <w:rFonts w:eastAsia="Times New Roman" w:cstheme="minorHAnsi"/>
        </w:rPr>
        <w:t xml:space="preserve">. </w:t>
      </w:r>
      <w:r w:rsidRPr="007E5564">
        <w:rPr>
          <w:rFonts w:cstheme="minorHAnsi"/>
        </w:rPr>
        <w:t xml:space="preserve">In response, </w:t>
      </w:r>
      <w:r w:rsidR="00B27701">
        <w:rPr>
          <w:rFonts w:cstheme="minorHAnsi"/>
        </w:rPr>
        <w:t>there’s no doubt that each of these lines of evidence can get very complicated and technical in a hurry</w:t>
      </w:r>
      <w:r w:rsidRPr="007E5564">
        <w:rPr>
          <w:rFonts w:eastAsia="Times New Roman" w:cstheme="minorHAnsi"/>
        </w:rPr>
        <w:t>.</w:t>
      </w:r>
      <w:r w:rsidR="00B27701">
        <w:rPr>
          <w:rFonts w:eastAsia="Times New Roman" w:cstheme="minorHAnsi"/>
        </w:rPr>
        <w:t xml:space="preserve"> But I think there is a level at which each can be grasped in an epistemically relevant way by regular folks.</w:t>
      </w:r>
      <w:r w:rsidRPr="007E5564">
        <w:rPr>
          <w:rFonts w:eastAsia="Times New Roman" w:cstheme="minorHAnsi"/>
        </w:rPr>
        <w:t xml:space="preserve"> </w:t>
      </w:r>
      <w:r w:rsidR="00B27701">
        <w:rPr>
          <w:rFonts w:eastAsia="Times New Roman" w:cstheme="minorHAnsi"/>
        </w:rPr>
        <w:t xml:space="preserve">Regular folks may not have at their disposal a formal apparatus of modal logic </w:t>
      </w:r>
      <w:r w:rsidR="0026469E">
        <w:rPr>
          <w:rFonts w:eastAsia="Times New Roman" w:cstheme="minorHAnsi"/>
        </w:rPr>
        <w:t>to bring to bear on the question of God’s essential goodness. B</w:t>
      </w:r>
      <w:r w:rsidR="00B27701">
        <w:rPr>
          <w:rFonts w:eastAsia="Times New Roman" w:cstheme="minorHAnsi"/>
        </w:rPr>
        <w:t xml:space="preserve">ut they can grasp </w:t>
      </w:r>
      <w:r w:rsidR="0026469E">
        <w:rPr>
          <w:rFonts w:eastAsia="Times New Roman" w:cstheme="minorHAnsi"/>
        </w:rPr>
        <w:t>the idea that God can only ever be good and this can figure into the epistemic status of their beliefs about God’s goodwill</w:t>
      </w:r>
      <w:r w:rsidR="00B27701">
        <w:rPr>
          <w:rFonts w:eastAsia="Times New Roman" w:cstheme="minorHAnsi"/>
        </w:rPr>
        <w:t xml:space="preserve">. </w:t>
      </w:r>
    </w:p>
    <w:p w14:paraId="06E68CAF" w14:textId="176EB745" w:rsidR="0096454B" w:rsidRDefault="00B27701" w:rsidP="001F3521">
      <w:pPr>
        <w:autoSpaceDE w:val="0"/>
        <w:autoSpaceDN w:val="0"/>
        <w:adjustRightInd w:val="0"/>
        <w:spacing w:line="480" w:lineRule="auto"/>
        <w:ind w:right="-720" w:firstLine="720"/>
        <w:rPr>
          <w:rFonts w:eastAsia="Times New Roman" w:cstheme="minorHAnsi"/>
        </w:rPr>
      </w:pPr>
      <w:r>
        <w:rPr>
          <w:rFonts w:eastAsia="Times New Roman" w:cstheme="minorHAnsi"/>
        </w:rPr>
        <w:t xml:space="preserve">An even better example is the everyday way people can have </w:t>
      </w:r>
      <w:r w:rsidR="0096454B" w:rsidRPr="007E5564">
        <w:rPr>
          <w:rFonts w:eastAsia="Times New Roman" w:cstheme="minorHAnsi"/>
        </w:rPr>
        <w:t>evidence for the resurrection</w:t>
      </w:r>
      <w:r>
        <w:rPr>
          <w:rFonts w:eastAsia="Times New Roman" w:cstheme="minorHAnsi"/>
        </w:rPr>
        <w:t>. The primary evidence</w:t>
      </w:r>
      <w:r w:rsidR="0096454B" w:rsidRPr="007E5564">
        <w:rPr>
          <w:rFonts w:eastAsia="Times New Roman" w:cstheme="minorHAnsi"/>
        </w:rPr>
        <w:t xml:space="preserve"> is, for many people, the testimony of the Evangelists (Matthew, Mark, Luke and John, etc.) and </w:t>
      </w:r>
      <w:r w:rsidR="006B1DAC">
        <w:rPr>
          <w:rFonts w:eastAsia="Times New Roman" w:cstheme="minorHAnsi"/>
        </w:rPr>
        <w:t xml:space="preserve">also </w:t>
      </w:r>
      <w:r w:rsidR="0096454B" w:rsidRPr="007E5564">
        <w:rPr>
          <w:rFonts w:eastAsia="Times New Roman" w:cstheme="minorHAnsi"/>
        </w:rPr>
        <w:t>evangelists</w:t>
      </w:r>
      <w:r w:rsidR="006B1DAC">
        <w:rPr>
          <w:rFonts w:eastAsia="Times New Roman" w:cstheme="minorHAnsi"/>
        </w:rPr>
        <w:t xml:space="preserve"> (i.</w:t>
      </w:r>
      <w:r w:rsidR="0056327B">
        <w:rPr>
          <w:rFonts w:eastAsia="Times New Roman" w:cstheme="minorHAnsi"/>
        </w:rPr>
        <w:t xml:space="preserve">e., </w:t>
      </w:r>
      <w:r w:rsidR="004B7F89">
        <w:rPr>
          <w:rFonts w:eastAsia="Times New Roman" w:cstheme="minorHAnsi"/>
        </w:rPr>
        <w:t>proclaimers of</w:t>
      </w:r>
      <w:r w:rsidR="0056327B">
        <w:rPr>
          <w:rFonts w:eastAsia="Times New Roman" w:cstheme="minorHAnsi"/>
        </w:rPr>
        <w:t xml:space="preserve"> the gospel)</w:t>
      </w:r>
      <w:r w:rsidR="0096454B" w:rsidRPr="007E5564">
        <w:rPr>
          <w:rFonts w:eastAsia="Times New Roman" w:cstheme="minorHAnsi"/>
        </w:rPr>
        <w:t xml:space="preserve">. </w:t>
      </w:r>
      <w:r w:rsidR="00861CD9">
        <w:rPr>
          <w:rFonts w:eastAsia="Times New Roman" w:cstheme="minorHAnsi"/>
        </w:rPr>
        <w:t xml:space="preserve">Testimonial evidence has an important role to play here. </w:t>
      </w:r>
      <w:r w:rsidR="0096454B" w:rsidRPr="007E5564">
        <w:rPr>
          <w:rFonts w:eastAsia="Times New Roman" w:cstheme="minorHAnsi"/>
        </w:rPr>
        <w:t>As</w:t>
      </w:r>
      <w:r w:rsidR="00861CD9">
        <w:rPr>
          <w:rFonts w:eastAsia="Times New Roman" w:cstheme="minorHAnsi"/>
        </w:rPr>
        <w:t xml:space="preserve"> the Apostle</w:t>
      </w:r>
      <w:r w:rsidR="0096454B" w:rsidRPr="007E5564">
        <w:rPr>
          <w:rFonts w:eastAsia="Times New Roman" w:cstheme="minorHAnsi"/>
        </w:rPr>
        <w:t xml:space="preserve"> Paul says “</w:t>
      </w:r>
      <w:r w:rsidR="00861CD9">
        <w:rPr>
          <w:rFonts w:eastAsia="Times New Roman" w:cstheme="minorHAnsi"/>
        </w:rPr>
        <w:t>And how shall they believe in Him of whom they have not heard? And how shall they hear without a preacher?...So then faith comes by hearing, and hearing by the word of God</w:t>
      </w:r>
      <w:r w:rsidR="0096454B" w:rsidRPr="007E5564">
        <w:rPr>
          <w:rFonts w:eastAsia="Times New Roman" w:cstheme="minorHAnsi"/>
        </w:rPr>
        <w:t>”</w:t>
      </w:r>
      <w:r w:rsidR="00861CD9">
        <w:rPr>
          <w:rFonts w:eastAsia="Times New Roman" w:cstheme="minorHAnsi"/>
        </w:rPr>
        <w:t xml:space="preserve"> (Romans 10:14-17). </w:t>
      </w:r>
      <w:r w:rsidR="00E13154">
        <w:rPr>
          <w:rFonts w:eastAsia="Times New Roman" w:cstheme="minorHAnsi"/>
        </w:rPr>
        <w:t>Though it is not easy to work out an account of testimony as evidence, there’s no question that we often take ourselves to be justified on the basis of testimony.</w:t>
      </w:r>
      <w:r w:rsidR="006B1DAC">
        <w:rPr>
          <w:rStyle w:val="FootnoteReference"/>
          <w:rFonts w:eastAsia="Times New Roman" w:cstheme="minorHAnsi"/>
        </w:rPr>
        <w:footnoteReference w:id="33"/>
      </w:r>
      <w:r w:rsidR="00E13154">
        <w:rPr>
          <w:rFonts w:eastAsia="Times New Roman" w:cstheme="minorHAnsi"/>
        </w:rPr>
        <w:t xml:space="preserve"> </w:t>
      </w:r>
      <w:r w:rsidR="00DF56E5">
        <w:rPr>
          <w:rFonts w:eastAsia="Times New Roman" w:cstheme="minorHAnsi"/>
        </w:rPr>
        <w:t xml:space="preserve">Indeed, it is </w:t>
      </w:r>
      <w:r w:rsidR="00DF56E5">
        <w:rPr>
          <w:rFonts w:eastAsia="Times New Roman" w:cstheme="minorHAnsi"/>
        </w:rPr>
        <w:lastRenderedPageBreak/>
        <w:t>often through the testimony of the Scriptures and the testimony of those who preach the Scriptures that God communicates his deep love for us.</w:t>
      </w:r>
    </w:p>
    <w:p w14:paraId="773F3655" w14:textId="3F3DB3F3" w:rsidR="00C12517" w:rsidRDefault="00C12517" w:rsidP="001F3521">
      <w:pPr>
        <w:autoSpaceDE w:val="0"/>
        <w:autoSpaceDN w:val="0"/>
        <w:adjustRightInd w:val="0"/>
        <w:spacing w:line="480" w:lineRule="auto"/>
        <w:ind w:right="-720" w:firstLine="720"/>
        <w:rPr>
          <w:rFonts w:eastAsia="Times New Roman" w:cstheme="minorHAnsi"/>
        </w:rPr>
      </w:pPr>
      <w:r>
        <w:rPr>
          <w:rFonts w:eastAsia="Times New Roman" w:cstheme="minorHAnsi"/>
        </w:rPr>
        <w:t xml:space="preserve">It is important to mention that this is not necessarily to provide an account of </w:t>
      </w:r>
      <w:r w:rsidRPr="00C12517">
        <w:rPr>
          <w:rFonts w:eastAsia="Times New Roman" w:cstheme="minorHAnsi"/>
          <w:i/>
        </w:rPr>
        <w:t>saving</w:t>
      </w:r>
      <w:r>
        <w:rPr>
          <w:rFonts w:eastAsia="Times New Roman" w:cstheme="minorHAnsi"/>
        </w:rPr>
        <w:t xml:space="preserve"> faith. I think that an account of saving faith would be for the theologian to work out according to his or her soteriological commitments</w:t>
      </w:r>
      <w:r w:rsidR="00484BAC">
        <w:rPr>
          <w:rFonts w:eastAsia="Times New Roman" w:cstheme="minorHAnsi"/>
        </w:rPr>
        <w:t xml:space="preserve"> and it very likely will include </w:t>
      </w:r>
      <w:r>
        <w:rPr>
          <w:rFonts w:eastAsia="Times New Roman" w:cstheme="minorHAnsi"/>
        </w:rPr>
        <w:t xml:space="preserve">further and stricter conditions. </w:t>
      </w:r>
      <w:r w:rsidR="00484BAC">
        <w:rPr>
          <w:rFonts w:eastAsia="Times New Roman" w:cstheme="minorHAnsi"/>
        </w:rPr>
        <w:t>However, I see no reason why an account of saving faith couldn’t be entirely consistent</w:t>
      </w:r>
      <w:r>
        <w:rPr>
          <w:rFonts w:eastAsia="Times New Roman" w:cstheme="minorHAnsi"/>
        </w:rPr>
        <w:t xml:space="preserve"> with the evidentialist model </w:t>
      </w:r>
      <w:r w:rsidR="00484BAC">
        <w:rPr>
          <w:rFonts w:eastAsia="Times New Roman" w:cstheme="minorHAnsi"/>
        </w:rPr>
        <w:t>I have provided</w:t>
      </w:r>
      <w:r>
        <w:rPr>
          <w:rFonts w:eastAsia="Times New Roman" w:cstheme="minorHAnsi"/>
        </w:rPr>
        <w:t xml:space="preserve">. </w:t>
      </w:r>
    </w:p>
    <w:p w14:paraId="26D7100B" w14:textId="783D769B" w:rsidR="00DF56E5" w:rsidRPr="00DF56E5" w:rsidRDefault="00DF56E5" w:rsidP="00DF56E5">
      <w:pPr>
        <w:autoSpaceDE w:val="0"/>
        <w:autoSpaceDN w:val="0"/>
        <w:adjustRightInd w:val="0"/>
        <w:spacing w:line="480" w:lineRule="auto"/>
        <w:ind w:right="-720"/>
        <w:rPr>
          <w:rFonts w:eastAsia="Times New Roman" w:cstheme="minorHAnsi"/>
          <w:b/>
        </w:rPr>
      </w:pPr>
      <w:r w:rsidRPr="00DF56E5">
        <w:rPr>
          <w:rFonts w:eastAsia="Times New Roman" w:cstheme="minorHAnsi"/>
          <w:b/>
        </w:rPr>
        <w:t>Objection</w:t>
      </w:r>
      <w:r w:rsidR="003A4562">
        <w:rPr>
          <w:rFonts w:eastAsia="Times New Roman" w:cstheme="minorHAnsi"/>
          <w:b/>
        </w:rPr>
        <w:t>s</w:t>
      </w:r>
    </w:p>
    <w:p w14:paraId="65A1ACE1" w14:textId="5305FD2C" w:rsidR="0080544F" w:rsidRDefault="00435EEA" w:rsidP="0080544F">
      <w:pPr>
        <w:autoSpaceDE w:val="0"/>
        <w:autoSpaceDN w:val="0"/>
        <w:adjustRightInd w:val="0"/>
        <w:spacing w:after="0" w:line="480" w:lineRule="auto"/>
        <w:ind w:firstLine="720"/>
      </w:pPr>
      <w:r>
        <w:t xml:space="preserve">The first objection </w:t>
      </w:r>
      <w:r w:rsidR="006672AD">
        <w:t>claims</w:t>
      </w:r>
      <w:r>
        <w:t xml:space="preserve"> that</w:t>
      </w:r>
      <w:r w:rsidR="000A05E7">
        <w:t xml:space="preserve"> there are times</w:t>
      </w:r>
      <w:r>
        <w:t xml:space="preserve"> practical considerations prompt faith</w:t>
      </w:r>
      <w:r w:rsidR="000A05E7">
        <w:t xml:space="preserve"> in someone</w:t>
      </w:r>
      <w:r w:rsidR="006672AD">
        <w:t xml:space="preserve">, in </w:t>
      </w:r>
      <w:r w:rsidR="00484BAC">
        <w:t xml:space="preserve">what seem to be </w:t>
      </w:r>
      <w:r w:rsidR="006672AD">
        <w:t>morally praiseworthy way</w:t>
      </w:r>
      <w:r w:rsidR="00484BAC">
        <w:t>s</w:t>
      </w:r>
      <w:r w:rsidR="006672AD">
        <w:t>,</w:t>
      </w:r>
      <w:r w:rsidR="000A05E7">
        <w:t xml:space="preserve"> even though the evidence suggests the person is not a competent friend</w:t>
      </w:r>
      <w:r>
        <w:t xml:space="preserve">. </w:t>
      </w:r>
      <w:r w:rsidR="0080544F">
        <w:t xml:space="preserve">I will give two stories that illustrate this sort of </w:t>
      </w:r>
      <w:r w:rsidR="00484BAC">
        <w:t>objection</w:t>
      </w:r>
      <w:r w:rsidR="0080544F">
        <w:t xml:space="preserve">. </w:t>
      </w:r>
    </w:p>
    <w:p w14:paraId="0B034C35" w14:textId="1749402D" w:rsidR="00435EEA" w:rsidRDefault="0080544F" w:rsidP="0080544F">
      <w:pPr>
        <w:pStyle w:val="ListParagraph"/>
        <w:numPr>
          <w:ilvl w:val="0"/>
          <w:numId w:val="2"/>
        </w:numPr>
        <w:autoSpaceDE w:val="0"/>
        <w:autoSpaceDN w:val="0"/>
        <w:adjustRightInd w:val="0"/>
        <w:spacing w:after="0" w:line="240" w:lineRule="auto"/>
      </w:pPr>
      <w:r>
        <w:t xml:space="preserve">Let’s suppose </w:t>
      </w:r>
      <w:r w:rsidR="00435EEA">
        <w:t xml:space="preserve">my wife had a brother who is a </w:t>
      </w:r>
      <w:r>
        <w:t xml:space="preserve">complete </w:t>
      </w:r>
      <w:r w:rsidR="00435EEA">
        <w:t>deadbeat. Let’s imagine that he has never fully grown up or accepted adult responsibilities in life. However, suppose that</w:t>
      </w:r>
      <w:r w:rsidR="000A05E7">
        <w:t xml:space="preserve"> he offers to pick my wife and I up from the airport after a long</w:t>
      </w:r>
      <w:r>
        <w:t xml:space="preserve"> travel day</w:t>
      </w:r>
      <w:r w:rsidR="000A05E7">
        <w:t xml:space="preserve">. We have trusted him before for these sorts of tasks and he has failed to come through. But suppose he intimates that he is trying to turn his life around and he would very much appreciate the opportunity to </w:t>
      </w:r>
      <w:r w:rsidR="00484BAC">
        <w:t xml:space="preserve">demonstrate this by </w:t>
      </w:r>
      <w:r w:rsidR="000A05E7">
        <w:t>pick</w:t>
      </w:r>
      <w:r w:rsidR="00484BAC">
        <w:t>ing</w:t>
      </w:r>
      <w:r w:rsidR="000A05E7">
        <w:t xml:space="preserve"> us up from the airport. Because we love him and we want to give him the opportunity to come through, we agree to depend on him to get home from the airport.</w:t>
      </w:r>
      <w:r>
        <w:t xml:space="preserve"> This is an instance of faith without the relevant evidence. Is it praiseworthy?</w:t>
      </w:r>
      <w:r w:rsidRPr="0080544F">
        <w:t xml:space="preserve"> </w:t>
      </w:r>
      <w:r w:rsidR="000A05E7">
        <w:t xml:space="preserve"> </w:t>
      </w:r>
    </w:p>
    <w:p w14:paraId="585F6CE6" w14:textId="77777777" w:rsidR="0080544F" w:rsidRDefault="0080544F" w:rsidP="0080544F">
      <w:pPr>
        <w:pStyle w:val="ListParagraph"/>
        <w:autoSpaceDE w:val="0"/>
        <w:autoSpaceDN w:val="0"/>
        <w:adjustRightInd w:val="0"/>
        <w:spacing w:after="0" w:line="240" w:lineRule="auto"/>
      </w:pPr>
    </w:p>
    <w:p w14:paraId="343DB649" w14:textId="362CB0F9" w:rsidR="0080544F" w:rsidRDefault="0080544F" w:rsidP="0080544F">
      <w:pPr>
        <w:pStyle w:val="ListParagraph"/>
        <w:numPr>
          <w:ilvl w:val="0"/>
          <w:numId w:val="2"/>
        </w:numPr>
        <w:autoSpaceDE w:val="0"/>
        <w:autoSpaceDN w:val="0"/>
        <w:adjustRightInd w:val="0"/>
        <w:spacing w:after="0" w:line="240" w:lineRule="auto"/>
      </w:pPr>
      <w:r>
        <w:t>S</w:t>
      </w:r>
      <w:r w:rsidR="006D3CD1">
        <w:t>uppose there is an escaped prisoner of war in Nazi Germany whose only hope is to enlist the help of a German to get out of the country.</w:t>
      </w:r>
      <w:r w:rsidR="00C633F8">
        <w:rPr>
          <w:rStyle w:val="FootnoteReference"/>
        </w:rPr>
        <w:footnoteReference w:id="34"/>
      </w:r>
      <w:r w:rsidR="006D3CD1">
        <w:t xml:space="preserve"> All the evidence points to the fact that </w:t>
      </w:r>
      <w:r w:rsidR="00642CE8">
        <w:t>most every</w:t>
      </w:r>
      <w:r w:rsidR="006D3CD1">
        <w:t xml:space="preserve"> German will turn </w:t>
      </w:r>
      <w:r w:rsidR="00642CE8">
        <w:t>any escaped</w:t>
      </w:r>
      <w:r w:rsidR="006D3CD1">
        <w:t xml:space="preserve"> prisoner over to the police. However, with no other options, the prisoner ventures his wellbeing on a German person in hope that he will aid him. This is an instance of faith without the relevant evidence. Is it praiseworthy?</w:t>
      </w:r>
      <w:r w:rsidRPr="0080544F">
        <w:t xml:space="preserve"> </w:t>
      </w:r>
    </w:p>
    <w:p w14:paraId="7EB60072" w14:textId="77777777" w:rsidR="0080544F" w:rsidRDefault="0080544F" w:rsidP="0080544F">
      <w:pPr>
        <w:autoSpaceDE w:val="0"/>
        <w:autoSpaceDN w:val="0"/>
        <w:adjustRightInd w:val="0"/>
        <w:spacing w:after="0" w:line="480" w:lineRule="auto"/>
        <w:ind w:firstLine="720"/>
      </w:pPr>
    </w:p>
    <w:p w14:paraId="718A0695" w14:textId="6DA28B43" w:rsidR="0080544F" w:rsidRDefault="0080544F" w:rsidP="0080544F">
      <w:pPr>
        <w:autoSpaceDE w:val="0"/>
        <w:autoSpaceDN w:val="0"/>
        <w:adjustRightInd w:val="0"/>
        <w:spacing w:after="0" w:line="480" w:lineRule="auto"/>
        <w:ind w:firstLine="720"/>
      </w:pPr>
      <w:r>
        <w:t xml:space="preserve">In response, it is not clear to me that these are in fact morally praiseworthy, at least </w:t>
      </w:r>
      <w:r w:rsidR="00642CE8">
        <w:t xml:space="preserve">as it relates to </w:t>
      </w:r>
      <w:r>
        <w:t xml:space="preserve">the faith </w:t>
      </w:r>
      <w:r w:rsidR="006672AD">
        <w:t>exemplified</w:t>
      </w:r>
      <w:r>
        <w:t xml:space="preserve">. If </w:t>
      </w:r>
      <w:r w:rsidR="006672AD">
        <w:t>either story ends badly</w:t>
      </w:r>
      <w:r>
        <w:t xml:space="preserve">, then </w:t>
      </w:r>
      <w:r w:rsidR="00642CE8">
        <w:t xml:space="preserve">our appraisal of their actions will </w:t>
      </w:r>
      <w:r w:rsidR="00642CE8">
        <w:lastRenderedPageBreak/>
        <w:t xml:space="preserve">likely not be too positive. In other words, if my wife and I are left at the airport once again, we might be led to say that we shouldn’t have trusted the brother. But clearly there is something morally praiseworthy about the actions in each story even if it is not the faith exemplified. </w:t>
      </w:r>
      <w:r w:rsidR="006672AD">
        <w:t xml:space="preserve">In the first case, it </w:t>
      </w:r>
      <w:r>
        <w:t xml:space="preserve">is the kindness </w:t>
      </w:r>
      <w:r w:rsidR="00642CE8">
        <w:t xml:space="preserve">and self-sacrificial love </w:t>
      </w:r>
      <w:r>
        <w:t>that is being shown to the brother.</w:t>
      </w:r>
      <w:r w:rsidR="006672AD">
        <w:t xml:space="preserve"> And in the second, it is the </w:t>
      </w:r>
      <w:r w:rsidR="00642CE8">
        <w:t xml:space="preserve">great </w:t>
      </w:r>
      <w:r w:rsidR="006672AD">
        <w:t>courage of the prisoner that is praiseworthy.</w:t>
      </w:r>
      <w:r>
        <w:t xml:space="preserve"> </w:t>
      </w:r>
      <w:r w:rsidR="006672AD">
        <w:t xml:space="preserve">These situations seem </w:t>
      </w:r>
      <w:r w:rsidR="00642CE8">
        <w:t xml:space="preserve">morally complex. They both seem </w:t>
      </w:r>
      <w:r w:rsidR="006672AD">
        <w:t>relevantly</w:t>
      </w:r>
      <w:r>
        <w:t xml:space="preserve"> similar </w:t>
      </w:r>
      <w:r w:rsidR="006672AD">
        <w:t xml:space="preserve">to a case where </w:t>
      </w:r>
      <w:r>
        <w:t xml:space="preserve">one </w:t>
      </w:r>
      <w:r w:rsidR="006672AD">
        <w:t>acts</w:t>
      </w:r>
      <w:r>
        <w:t xml:space="preserve"> disho</w:t>
      </w:r>
      <w:r w:rsidR="006672AD">
        <w:t>nest</w:t>
      </w:r>
      <w:r w:rsidR="00642CE8">
        <w:t>ly</w:t>
      </w:r>
      <w:r w:rsidR="006672AD">
        <w:t xml:space="preserve"> out of kindness and love. The kindness and love may be commendable</w:t>
      </w:r>
      <w:r w:rsidR="00642CE8">
        <w:t>,</w:t>
      </w:r>
      <w:r w:rsidR="006672AD">
        <w:t xml:space="preserve"> but this fact</w:t>
      </w:r>
      <w:r>
        <w:t xml:space="preserve"> doesn’t make the dishonesty </w:t>
      </w:r>
      <w:r w:rsidR="006672AD">
        <w:t xml:space="preserve">itself </w:t>
      </w:r>
      <w:r>
        <w:t xml:space="preserve">morally praiseworthy. </w:t>
      </w:r>
    </w:p>
    <w:p w14:paraId="7C05121D" w14:textId="77777777" w:rsidR="006672AD" w:rsidRDefault="006672AD" w:rsidP="001455C0">
      <w:pPr>
        <w:autoSpaceDE w:val="0"/>
        <w:autoSpaceDN w:val="0"/>
        <w:adjustRightInd w:val="0"/>
        <w:spacing w:after="0" w:line="480" w:lineRule="auto"/>
        <w:ind w:firstLine="720"/>
      </w:pPr>
      <w:r>
        <w:t xml:space="preserve">The second objection claims that </w:t>
      </w:r>
      <w:r w:rsidR="0056327B">
        <w:t xml:space="preserve">there are times when </w:t>
      </w:r>
      <w:r w:rsidR="001F7D32">
        <w:t xml:space="preserve">we ought to hang on in </w:t>
      </w:r>
      <w:r w:rsidR="0056327B">
        <w:t xml:space="preserve">faith </w:t>
      </w:r>
      <w:r w:rsidR="001F7D32">
        <w:t xml:space="preserve">even though </w:t>
      </w:r>
      <w:r>
        <w:t xml:space="preserve">the </w:t>
      </w:r>
      <w:r w:rsidR="001F7D32">
        <w:t xml:space="preserve">evidence </w:t>
      </w:r>
      <w:r>
        <w:t>says someone is not a competent friend</w:t>
      </w:r>
      <w:r w:rsidR="001F7D32">
        <w:t xml:space="preserve">. </w:t>
      </w:r>
      <w:r>
        <w:t xml:space="preserve">Here are two cases of this sort: </w:t>
      </w:r>
    </w:p>
    <w:p w14:paraId="4D7253D9" w14:textId="1CE89A37" w:rsidR="006672AD" w:rsidRPr="006672AD" w:rsidRDefault="003A4562" w:rsidP="006672AD">
      <w:pPr>
        <w:pStyle w:val="ListParagraph"/>
        <w:numPr>
          <w:ilvl w:val="0"/>
          <w:numId w:val="2"/>
        </w:numPr>
        <w:autoSpaceDE w:val="0"/>
        <w:autoSpaceDN w:val="0"/>
        <w:adjustRightInd w:val="0"/>
        <w:spacing w:after="0" w:line="240" w:lineRule="auto"/>
        <w:rPr>
          <w:rFonts w:cstheme="minorHAnsi"/>
        </w:rPr>
      </w:pPr>
      <w:r>
        <w:t>S</w:t>
      </w:r>
      <w:r w:rsidR="00CA3283">
        <w:t xml:space="preserve">uppose that a man’s wife notices a distinct smell of perfume that is </w:t>
      </w:r>
      <w:r w:rsidR="0056327B">
        <w:t>not hers on one his dress shirts</w:t>
      </w:r>
      <w:r w:rsidR="00CA3283">
        <w:t xml:space="preserve"> and, upon closer inspection, </w:t>
      </w:r>
      <w:r w:rsidR="00514842">
        <w:t xml:space="preserve">also sees </w:t>
      </w:r>
      <w:r w:rsidR="00CA3283">
        <w:t xml:space="preserve">a small spot of lipstick on the collar. Suppose also </w:t>
      </w:r>
      <w:r w:rsidR="00514842">
        <w:t>he has been traveling more than normal and</w:t>
      </w:r>
      <w:r w:rsidR="00CA3283">
        <w:t xml:space="preserve">, now that she thinks about it, </w:t>
      </w:r>
      <w:r w:rsidR="00514842">
        <w:t>she has very little evidence that these</w:t>
      </w:r>
      <w:r w:rsidR="00642CE8">
        <w:t xml:space="preserve"> trips</w:t>
      </w:r>
      <w:r w:rsidR="00514842">
        <w:t xml:space="preserve"> are even business </w:t>
      </w:r>
      <w:r w:rsidR="00642CE8">
        <w:t>related</w:t>
      </w:r>
      <w:r w:rsidR="00514842">
        <w:t xml:space="preserve">. </w:t>
      </w:r>
      <w:r w:rsidR="006A5AB4">
        <w:t xml:space="preserve">Let’s say they have children and the </w:t>
      </w:r>
      <w:r w:rsidR="0056327B">
        <w:t>wife</w:t>
      </w:r>
      <w:r w:rsidR="006A5AB4">
        <w:t xml:space="preserve"> chooses to maintain </w:t>
      </w:r>
      <w:r w:rsidR="0056327B">
        <w:t>faith</w:t>
      </w:r>
      <w:r w:rsidR="006A5AB4">
        <w:t xml:space="preserve"> in him despite the evidence. </w:t>
      </w:r>
      <w:r>
        <w:t>I</w:t>
      </w:r>
      <w:r w:rsidR="006A5AB4">
        <w:t xml:space="preserve">s this an instance where she morally ought to </w:t>
      </w:r>
      <w:r>
        <w:t xml:space="preserve">maintain faith </w:t>
      </w:r>
      <w:r w:rsidR="006A5AB4">
        <w:t xml:space="preserve">despite the evidence? </w:t>
      </w:r>
    </w:p>
    <w:p w14:paraId="6EE0E7E7" w14:textId="77777777" w:rsidR="006672AD" w:rsidRPr="006672AD" w:rsidRDefault="006672AD" w:rsidP="006672AD">
      <w:pPr>
        <w:pStyle w:val="ListParagraph"/>
        <w:autoSpaceDE w:val="0"/>
        <w:autoSpaceDN w:val="0"/>
        <w:adjustRightInd w:val="0"/>
        <w:spacing w:after="0" w:line="240" w:lineRule="auto"/>
        <w:rPr>
          <w:rFonts w:cstheme="minorHAnsi"/>
        </w:rPr>
      </w:pPr>
    </w:p>
    <w:p w14:paraId="586C27D0" w14:textId="4FD7C8DF" w:rsidR="006672AD" w:rsidRPr="006672AD" w:rsidRDefault="00CA3283" w:rsidP="006672AD">
      <w:pPr>
        <w:pStyle w:val="ListParagraph"/>
        <w:numPr>
          <w:ilvl w:val="0"/>
          <w:numId w:val="2"/>
        </w:numPr>
        <w:autoSpaceDE w:val="0"/>
        <w:autoSpaceDN w:val="0"/>
        <w:adjustRightInd w:val="0"/>
        <w:spacing w:after="0" w:line="240" w:lineRule="auto"/>
        <w:rPr>
          <w:rFonts w:cstheme="minorHAnsi"/>
        </w:rPr>
      </w:pPr>
      <w:r>
        <w:t xml:space="preserve">It is not uncommon for someone’s faith to be tried when they face tragedy in life. </w:t>
      </w:r>
      <w:r w:rsidR="00642CE8">
        <w:t>Suppose</w:t>
      </w:r>
      <w:r>
        <w:t xml:space="preserve"> </w:t>
      </w:r>
      <w:r w:rsidR="008145D8">
        <w:t xml:space="preserve">a young adult named </w:t>
      </w:r>
      <w:r>
        <w:t xml:space="preserve">Steve has been killed in a tragic accident. </w:t>
      </w:r>
      <w:r w:rsidR="008145D8">
        <w:t>Steve’s mom tries to sort this out intellectually and his death seems</w:t>
      </w:r>
      <w:r w:rsidR="00A36B79">
        <w:t>, to her,</w:t>
      </w:r>
      <w:r w:rsidR="008145D8">
        <w:t xml:space="preserve"> utterly pointless</w:t>
      </w:r>
      <w:r>
        <w:t xml:space="preserve"> and without any redeeming </w:t>
      </w:r>
      <w:r w:rsidR="00642CE8">
        <w:t>element</w:t>
      </w:r>
      <w:r>
        <w:t xml:space="preserve">. </w:t>
      </w:r>
      <w:r w:rsidR="008145D8">
        <w:t>She</w:t>
      </w:r>
      <w:r>
        <w:t xml:space="preserve"> begin</w:t>
      </w:r>
      <w:r w:rsidR="008145D8">
        <w:t>s</w:t>
      </w:r>
      <w:r>
        <w:t xml:space="preserve"> to genuinely question God on the basis of what </w:t>
      </w:r>
      <w:r w:rsidR="008145D8">
        <w:t xml:space="preserve">seems to be </w:t>
      </w:r>
      <w:r w:rsidR="00A36B79">
        <w:t>gratuitous</w:t>
      </w:r>
      <w:r w:rsidR="008145D8">
        <w:t xml:space="preserve"> suffering and yet she chooses to maintain faith. Is this an instance where she ought to maintain faith despite the evidence? </w:t>
      </w:r>
    </w:p>
    <w:p w14:paraId="30382DED" w14:textId="77777777" w:rsidR="006672AD" w:rsidRDefault="006672AD" w:rsidP="006672AD">
      <w:pPr>
        <w:pStyle w:val="ListParagraph"/>
      </w:pPr>
    </w:p>
    <w:p w14:paraId="6EFE3A32" w14:textId="46A20BF2" w:rsidR="00C633F8" w:rsidRDefault="00C633F8" w:rsidP="00C633F8">
      <w:pPr>
        <w:autoSpaceDE w:val="0"/>
        <w:autoSpaceDN w:val="0"/>
        <w:adjustRightInd w:val="0"/>
        <w:spacing w:after="0" w:line="480" w:lineRule="auto"/>
        <w:ind w:firstLine="720"/>
      </w:pPr>
      <w:r>
        <w:t>In these cases</w:t>
      </w:r>
      <w:r w:rsidR="00642CE8">
        <w:t>, the answer</w:t>
      </w:r>
      <w:r>
        <w:t xml:space="preserve"> really depends on getting more details. In case 3, if he has cheated on his wife more than one time in the past and has, in various ways, intentionally sabotaged their marriage, then clearly she shouldn’t continue maintaining faith in him, especially in light of the new evidence. However, if he has heretofore displayed many instances of consistent love and faithfulness and this new evidence is completely out of step with all </w:t>
      </w:r>
      <w:r w:rsidR="00642CE8">
        <w:t>of what she knows</w:t>
      </w:r>
      <w:r>
        <w:t xml:space="preserve">, then she should maintain her trust </w:t>
      </w:r>
      <w:r w:rsidR="00B717E5">
        <w:t>(</w:t>
      </w:r>
      <w:r>
        <w:t>at least until she can get more evidence</w:t>
      </w:r>
      <w:r w:rsidR="00B717E5">
        <w:t>)</w:t>
      </w:r>
      <w:r>
        <w:t xml:space="preserve">. </w:t>
      </w:r>
      <w:r>
        <w:lastRenderedPageBreak/>
        <w:t xml:space="preserve">At the moment, she doesn’t have overwhelming evidence of his infidelity. Perhaps there’s a good explanation. But she may also find more evidence that an affair has occurred. The intuition is that the </w:t>
      </w:r>
      <w:r w:rsidR="00B717E5">
        <w:t>praiseworthiness</w:t>
      </w:r>
      <w:r>
        <w:t xml:space="preserve"> of her faith turns on her overall evidence</w:t>
      </w:r>
      <w:r w:rsidR="00B717E5">
        <w:t>.</w:t>
      </w:r>
      <w:r>
        <w:t xml:space="preserve"> </w:t>
      </w:r>
    </w:p>
    <w:p w14:paraId="3304AA7A" w14:textId="7BD25639" w:rsidR="00A41B56" w:rsidRPr="00C633F8" w:rsidRDefault="00C633F8" w:rsidP="00C633F8">
      <w:pPr>
        <w:autoSpaceDE w:val="0"/>
        <w:autoSpaceDN w:val="0"/>
        <w:adjustRightInd w:val="0"/>
        <w:spacing w:after="0" w:line="480" w:lineRule="auto"/>
        <w:ind w:firstLine="720"/>
      </w:pPr>
      <w:r>
        <w:t>In case 4, h</w:t>
      </w:r>
      <w:r w:rsidR="008145D8">
        <w:t xml:space="preserve">ere again, it seems we need more details. Just because </w:t>
      </w:r>
      <w:r w:rsidR="00B717E5">
        <w:t>the mom</w:t>
      </w:r>
      <w:r w:rsidR="008145D8">
        <w:t xml:space="preserve"> is confronted with what seems like gratuitous evil doesn’t mean she is without all evidence</w:t>
      </w:r>
      <w:r w:rsidR="00A36B79">
        <w:t xml:space="preserve"> whatsoever</w:t>
      </w:r>
      <w:r w:rsidR="008145D8">
        <w:t xml:space="preserve">. Though she has an intellectual struggle on her hands and even if she can’t make sense of why God would allow her son to be killed, </w:t>
      </w:r>
      <w:r w:rsidR="00AA3AF9">
        <w:t xml:space="preserve">she may still have very good evidence that he’s there and he is good. </w:t>
      </w:r>
      <w:r w:rsidR="008145D8">
        <w:t xml:space="preserve">Tragedy has a way of forcing us to get really honest about our faith. But </w:t>
      </w:r>
      <w:r w:rsidR="00B717E5">
        <w:t>scores of</w:t>
      </w:r>
      <w:r w:rsidR="008145D8">
        <w:t xml:space="preserve"> people have maintained faith in the face of horrific circumstances</w:t>
      </w:r>
      <w:r w:rsidR="00C85B3F">
        <w:t xml:space="preserve"> they don’t understand</w:t>
      </w:r>
      <w:r w:rsidR="00AA3AF9">
        <w:t xml:space="preserve"> and this is</w:t>
      </w:r>
      <w:r w:rsidR="008145D8">
        <w:t xml:space="preserve"> </w:t>
      </w:r>
      <w:r w:rsidR="00C85B3F">
        <w:t xml:space="preserve">precisely because they know too much of God for the circumstances to destroy their otherwise well-grounded faith. </w:t>
      </w:r>
    </w:p>
    <w:p w14:paraId="1F1E62C7" w14:textId="77777777" w:rsidR="006672AD" w:rsidRDefault="006672AD" w:rsidP="006672AD">
      <w:pPr>
        <w:autoSpaceDE w:val="0"/>
        <w:autoSpaceDN w:val="0"/>
        <w:adjustRightInd w:val="0"/>
        <w:spacing w:after="0" w:line="240" w:lineRule="auto"/>
      </w:pPr>
    </w:p>
    <w:p w14:paraId="6CD6886E" w14:textId="77777777" w:rsidR="00B717E5" w:rsidRDefault="00B717E5" w:rsidP="00DF56E5">
      <w:pPr>
        <w:autoSpaceDE w:val="0"/>
        <w:autoSpaceDN w:val="0"/>
        <w:adjustRightInd w:val="0"/>
        <w:spacing w:line="480" w:lineRule="auto"/>
        <w:ind w:right="-720" w:firstLine="720"/>
        <w:rPr>
          <w:rFonts w:cstheme="minorHAnsi"/>
        </w:rPr>
      </w:pPr>
      <w:r>
        <w:rPr>
          <w:rFonts w:cstheme="minorHAnsi"/>
        </w:rPr>
        <w:t>So I think the</w:t>
      </w:r>
      <w:r w:rsidR="003F78FF">
        <w:rPr>
          <w:rFonts w:cstheme="minorHAnsi"/>
        </w:rPr>
        <w:t xml:space="preserve"> model </w:t>
      </w:r>
      <w:r>
        <w:rPr>
          <w:rFonts w:cstheme="minorHAnsi"/>
        </w:rPr>
        <w:t xml:space="preserve">can handle these sorts of objections. </w:t>
      </w:r>
    </w:p>
    <w:p w14:paraId="678B6664" w14:textId="64217999" w:rsidR="00DF56E5" w:rsidRDefault="00B717E5" w:rsidP="00DF56E5">
      <w:pPr>
        <w:autoSpaceDE w:val="0"/>
        <w:autoSpaceDN w:val="0"/>
        <w:adjustRightInd w:val="0"/>
        <w:spacing w:line="480" w:lineRule="auto"/>
        <w:ind w:right="-720" w:firstLine="720"/>
        <w:rPr>
          <w:rFonts w:cstheme="minorHAnsi"/>
        </w:rPr>
      </w:pPr>
      <w:r>
        <w:rPr>
          <w:rFonts w:cstheme="minorHAnsi"/>
        </w:rPr>
        <w:t xml:space="preserve">The upshot of this model of faith is that </w:t>
      </w:r>
      <w:r w:rsidR="003F78FF">
        <w:rPr>
          <w:rFonts w:cstheme="minorHAnsi"/>
        </w:rPr>
        <w:t xml:space="preserve">faith as ventured trust allows evidence to play a significant role for faith in the context of relationships. </w:t>
      </w:r>
      <w:r>
        <w:rPr>
          <w:rFonts w:cstheme="minorHAnsi"/>
        </w:rPr>
        <w:t>We see that e</w:t>
      </w:r>
      <w:r w:rsidR="00DF56E5">
        <w:rPr>
          <w:rFonts w:cstheme="minorHAnsi"/>
        </w:rPr>
        <w:t>vidence plays an important role</w:t>
      </w:r>
      <w:r>
        <w:rPr>
          <w:rFonts w:cstheme="minorHAnsi"/>
        </w:rPr>
        <w:t>,</w:t>
      </w:r>
      <w:r w:rsidR="00DF56E5">
        <w:rPr>
          <w:rFonts w:cstheme="minorHAnsi"/>
        </w:rPr>
        <w:t xml:space="preserve"> but </w:t>
      </w:r>
      <w:r w:rsidR="003F78FF">
        <w:rPr>
          <w:rFonts w:cstheme="minorHAnsi"/>
        </w:rPr>
        <w:t xml:space="preserve">it is </w:t>
      </w:r>
      <w:r w:rsidR="00DF56E5">
        <w:rPr>
          <w:rFonts w:cstheme="minorHAnsi"/>
        </w:rPr>
        <w:t>not overvalued or overp</w:t>
      </w:r>
      <w:r w:rsidR="003F78FF">
        <w:rPr>
          <w:rFonts w:cstheme="minorHAnsi"/>
        </w:rPr>
        <w:t xml:space="preserve">layed. It also makes clear that </w:t>
      </w:r>
      <w:r w:rsidR="00DF56E5">
        <w:rPr>
          <w:rFonts w:cstheme="minorHAnsi"/>
        </w:rPr>
        <w:t>faith is</w:t>
      </w:r>
      <w:r w:rsidR="003F78FF">
        <w:rPr>
          <w:rFonts w:cstheme="minorHAnsi"/>
        </w:rPr>
        <w:t xml:space="preserve"> not</w:t>
      </w:r>
      <w:r w:rsidR="00DF56E5">
        <w:rPr>
          <w:rFonts w:cstheme="minorHAnsi"/>
        </w:rPr>
        <w:t xml:space="preserve"> a </w:t>
      </w:r>
      <w:r w:rsidR="003F78FF">
        <w:rPr>
          <w:rFonts w:cstheme="minorHAnsi"/>
        </w:rPr>
        <w:t xml:space="preserve">necessary </w:t>
      </w:r>
      <w:r w:rsidR="00DF56E5">
        <w:rPr>
          <w:rFonts w:cstheme="minorHAnsi"/>
        </w:rPr>
        <w:t>deficiency of the evidence. Faith can be misplaced and inappropriate</w:t>
      </w:r>
      <w:r w:rsidR="003F78FF">
        <w:rPr>
          <w:rFonts w:cstheme="minorHAnsi"/>
        </w:rPr>
        <w:t>, to be sure.</w:t>
      </w:r>
      <w:r>
        <w:rPr>
          <w:rFonts w:cstheme="minorHAnsi"/>
        </w:rPr>
        <w:t xml:space="preserve"> But i</w:t>
      </w:r>
      <w:r w:rsidR="00DF56E5">
        <w:rPr>
          <w:rFonts w:cstheme="minorHAnsi"/>
        </w:rPr>
        <w:t>t is the evidence that guides us to the proper objects of our faith. And</w:t>
      </w:r>
      <w:r w:rsidR="003F78FF">
        <w:rPr>
          <w:rFonts w:cstheme="minorHAnsi"/>
        </w:rPr>
        <w:t xml:space="preserve"> the model can be applied to </w:t>
      </w:r>
      <w:r w:rsidR="00DF56E5">
        <w:rPr>
          <w:rFonts w:cstheme="minorHAnsi"/>
        </w:rPr>
        <w:t xml:space="preserve">Christian faith. </w:t>
      </w:r>
      <w:r w:rsidR="00DF56E5" w:rsidRPr="007E5564">
        <w:rPr>
          <w:rFonts w:cstheme="minorHAnsi"/>
        </w:rPr>
        <w:t>The heart of the Christian story is one in which God, who in his maximal goodness</w:t>
      </w:r>
      <w:r w:rsidR="003F78FF">
        <w:rPr>
          <w:rFonts w:cstheme="minorHAnsi"/>
        </w:rPr>
        <w:t>, loves us and</w:t>
      </w:r>
      <w:r w:rsidR="00DF56E5" w:rsidRPr="007E5564">
        <w:rPr>
          <w:rFonts w:cstheme="minorHAnsi"/>
        </w:rPr>
        <w:t xml:space="preserve"> gives his son in the ultimate sacrifice for us. </w:t>
      </w:r>
      <w:r>
        <w:rPr>
          <w:rFonts w:cstheme="minorHAnsi"/>
        </w:rPr>
        <w:t>I have found this to be</w:t>
      </w:r>
      <w:r w:rsidR="00DF56E5" w:rsidRPr="007E5564">
        <w:rPr>
          <w:rFonts w:cstheme="minorHAnsi"/>
        </w:rPr>
        <w:t xml:space="preserve"> true</w:t>
      </w:r>
      <w:r w:rsidR="003F78FF">
        <w:rPr>
          <w:rFonts w:cstheme="minorHAnsi"/>
        </w:rPr>
        <w:t xml:space="preserve"> and reasonable</w:t>
      </w:r>
      <w:r>
        <w:rPr>
          <w:rFonts w:cstheme="minorHAnsi"/>
        </w:rPr>
        <w:t xml:space="preserve"> and, as such,</w:t>
      </w:r>
      <w:r w:rsidR="00DF56E5" w:rsidRPr="007E5564">
        <w:rPr>
          <w:rFonts w:cstheme="minorHAnsi"/>
        </w:rPr>
        <w:t xml:space="preserve"> there is no </w:t>
      </w:r>
      <w:r w:rsidR="003F78FF" w:rsidRPr="007E5564">
        <w:rPr>
          <w:rFonts w:cstheme="minorHAnsi"/>
        </w:rPr>
        <w:t>worthier</w:t>
      </w:r>
      <w:r w:rsidR="00DF56E5" w:rsidRPr="007E5564">
        <w:rPr>
          <w:rFonts w:cstheme="minorHAnsi"/>
        </w:rPr>
        <w:t xml:space="preserve"> </w:t>
      </w:r>
      <w:r w:rsidR="003F78FF" w:rsidRPr="007E5564">
        <w:rPr>
          <w:rFonts w:cstheme="minorHAnsi"/>
        </w:rPr>
        <w:t xml:space="preserve">object </w:t>
      </w:r>
      <w:r w:rsidR="00DF56E5" w:rsidRPr="007E5564">
        <w:rPr>
          <w:rFonts w:cstheme="minorHAnsi"/>
        </w:rPr>
        <w:t xml:space="preserve">of </w:t>
      </w:r>
      <w:r w:rsidR="003F78FF">
        <w:rPr>
          <w:rFonts w:cstheme="minorHAnsi"/>
        </w:rPr>
        <w:t xml:space="preserve">our </w:t>
      </w:r>
      <w:r w:rsidR="00DF56E5" w:rsidRPr="007E5564">
        <w:rPr>
          <w:rFonts w:cstheme="minorHAnsi"/>
        </w:rPr>
        <w:t xml:space="preserve">faith. </w:t>
      </w:r>
    </w:p>
    <w:p w14:paraId="6CD87C44" w14:textId="77777777" w:rsidR="00074CD8" w:rsidRDefault="00074CD8" w:rsidP="00DF56E5">
      <w:pPr>
        <w:autoSpaceDE w:val="0"/>
        <w:autoSpaceDN w:val="0"/>
        <w:adjustRightInd w:val="0"/>
        <w:spacing w:line="480" w:lineRule="auto"/>
        <w:ind w:right="-720" w:firstLine="720"/>
        <w:rPr>
          <w:rFonts w:cstheme="minorHAnsi"/>
        </w:rPr>
      </w:pPr>
    </w:p>
    <w:p w14:paraId="175FA8BC" w14:textId="2163561E" w:rsidR="00DF56E5" w:rsidRPr="007E5564" w:rsidRDefault="00DF56E5" w:rsidP="00074CD8">
      <w:pPr>
        <w:rPr>
          <w:rFonts w:cstheme="minorHAnsi"/>
        </w:rPr>
      </w:pPr>
    </w:p>
    <w:sectPr w:rsidR="00DF56E5" w:rsidRPr="007E5564" w:rsidSect="008B265B">
      <w:footerReference w:type="default" r:id="rId9"/>
      <w:pgSz w:w="12240" w:h="15840"/>
      <w:pgMar w:top="1440" w:right="1800" w:bottom="1440" w:left="1800" w:header="720" w:footer="720" w:gutter="0"/>
      <w:pgNumType w:start="2"/>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0EF82" w14:textId="77777777" w:rsidR="00617B69" w:rsidRDefault="00617B69" w:rsidP="0096454B">
      <w:pPr>
        <w:spacing w:after="0" w:line="240" w:lineRule="auto"/>
      </w:pPr>
      <w:r>
        <w:separator/>
      </w:r>
    </w:p>
  </w:endnote>
  <w:endnote w:type="continuationSeparator" w:id="0">
    <w:p w14:paraId="4EACF878" w14:textId="77777777" w:rsidR="00617B69" w:rsidRDefault="00617B69" w:rsidP="0096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OT9a61103f+f6">
    <w:altName w:val="Arial Unicode MS"/>
    <w:panose1 w:val="00000000000000000000"/>
    <w:charset w:val="88"/>
    <w:family w:val="auto"/>
    <w:notTrueType/>
    <w:pitch w:val="default"/>
    <w:sig w:usb0="00000001" w:usb1="08080000" w:usb2="00000010" w:usb3="00000000" w:csb0="00100000" w:csb1="00000000"/>
  </w:font>
  <w:font w:name="AdvPAD0C">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955305"/>
      <w:docPartObj>
        <w:docPartGallery w:val="Page Numbers (Bottom of Page)"/>
        <w:docPartUnique/>
      </w:docPartObj>
    </w:sdtPr>
    <w:sdtEndPr>
      <w:rPr>
        <w:noProof/>
      </w:rPr>
    </w:sdtEndPr>
    <w:sdtContent>
      <w:p w14:paraId="65F32F1E" w14:textId="10415319" w:rsidR="00617B69" w:rsidRDefault="00617B69">
        <w:pPr>
          <w:pStyle w:val="Footer"/>
          <w:jc w:val="center"/>
        </w:pPr>
        <w:r>
          <w:fldChar w:fldCharType="begin"/>
        </w:r>
        <w:r>
          <w:instrText xml:space="preserve"> PAGE   \* MERGEFORMAT </w:instrText>
        </w:r>
        <w:r>
          <w:fldChar w:fldCharType="separate"/>
        </w:r>
        <w:r w:rsidR="00810066">
          <w:rPr>
            <w:noProof/>
          </w:rPr>
          <w:t>2</w:t>
        </w:r>
        <w:r>
          <w:rPr>
            <w:noProof/>
          </w:rPr>
          <w:fldChar w:fldCharType="end"/>
        </w:r>
      </w:p>
    </w:sdtContent>
  </w:sdt>
  <w:p w14:paraId="194C1A4B" w14:textId="77777777" w:rsidR="00617B69" w:rsidRDefault="00617B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E0AA0" w14:textId="77777777" w:rsidR="00617B69" w:rsidRDefault="00617B69" w:rsidP="0096454B">
      <w:pPr>
        <w:spacing w:after="0" w:line="240" w:lineRule="auto"/>
      </w:pPr>
      <w:r>
        <w:separator/>
      </w:r>
    </w:p>
  </w:footnote>
  <w:footnote w:type="continuationSeparator" w:id="0">
    <w:p w14:paraId="45530AA6" w14:textId="77777777" w:rsidR="00617B69" w:rsidRDefault="00617B69" w:rsidP="0096454B">
      <w:pPr>
        <w:spacing w:after="0" w:line="240" w:lineRule="auto"/>
      </w:pPr>
      <w:r>
        <w:continuationSeparator/>
      </w:r>
    </w:p>
  </w:footnote>
  <w:footnote w:id="1">
    <w:p w14:paraId="4160D508" w14:textId="3C60650A"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For example, </w:t>
      </w:r>
      <w:r w:rsidRPr="004B7F89">
        <w:rPr>
          <w:rFonts w:cstheme="minorHAnsi"/>
          <w:i/>
        </w:rPr>
        <w:t>The Nature and Value of Faith</w:t>
      </w:r>
      <w:r w:rsidRPr="004B7F89">
        <w:rPr>
          <w:rFonts w:cstheme="minorHAnsi"/>
        </w:rPr>
        <w:t xml:space="preserve"> project was a three project funded by the Templeton Religion Trust. See </w:t>
      </w:r>
      <w:hyperlink r:id="rId1" w:history="1">
        <w:r w:rsidRPr="004B7F89">
          <w:rPr>
            <w:rStyle w:val="Hyperlink"/>
            <w:rFonts w:cstheme="minorHAnsi"/>
          </w:rPr>
          <w:t>http://www.thenatureandvalueoffaith.com/</w:t>
        </w:r>
      </w:hyperlink>
      <w:r w:rsidRPr="004B7F89">
        <w:rPr>
          <w:rFonts w:cstheme="minorHAnsi"/>
        </w:rPr>
        <w:t xml:space="preserve">. The project produced three conferences and numerous publications, including a special double issue of the </w:t>
      </w:r>
      <w:r w:rsidRPr="004B7F89">
        <w:rPr>
          <w:rFonts w:cstheme="minorHAnsi"/>
          <w:i/>
        </w:rPr>
        <w:t>International Journal for Philosophy of Religion</w:t>
      </w:r>
      <w:r w:rsidRPr="004B7F89">
        <w:rPr>
          <w:rFonts w:cstheme="minorHAnsi"/>
        </w:rPr>
        <w:t xml:space="preserve"> </w:t>
      </w:r>
      <w:r w:rsidR="00313720" w:rsidRPr="004B7F89">
        <w:rPr>
          <w:rFonts w:cstheme="minorHAnsi"/>
        </w:rPr>
        <w:t xml:space="preserve">81 </w:t>
      </w:r>
      <w:r w:rsidRPr="004B7F89">
        <w:rPr>
          <w:rFonts w:cstheme="minorHAnsi"/>
        </w:rPr>
        <w:t>(2017):</w:t>
      </w:r>
      <w:r w:rsidR="00313720">
        <w:rPr>
          <w:rFonts w:cstheme="minorHAnsi"/>
        </w:rPr>
        <w:t xml:space="preserve"> </w:t>
      </w:r>
      <w:r w:rsidRPr="004B7F89">
        <w:rPr>
          <w:rFonts w:cstheme="minorHAnsi"/>
        </w:rPr>
        <w:t>1-227.</w:t>
      </w:r>
    </w:p>
  </w:footnote>
  <w:footnote w:id="2">
    <w:p w14:paraId="46C6C4FA" w14:textId="64540A53" w:rsidR="00617B69" w:rsidRPr="004B7F89" w:rsidRDefault="00617B69" w:rsidP="00762C7C">
      <w:pPr>
        <w:autoSpaceDE w:val="0"/>
        <w:autoSpaceDN w:val="0"/>
        <w:adjustRightInd w:val="0"/>
        <w:spacing w:after="0" w:line="240" w:lineRule="auto"/>
        <w:rPr>
          <w:rFonts w:cstheme="minorHAnsi"/>
          <w:sz w:val="20"/>
          <w:szCs w:val="20"/>
        </w:rPr>
      </w:pPr>
      <w:r w:rsidRPr="004B7F89">
        <w:rPr>
          <w:rStyle w:val="FootnoteReference"/>
          <w:rFonts w:cstheme="minorHAnsi"/>
          <w:sz w:val="20"/>
          <w:szCs w:val="20"/>
        </w:rPr>
        <w:footnoteRef/>
      </w:r>
      <w:r w:rsidRPr="004B7F89">
        <w:rPr>
          <w:rFonts w:cstheme="minorHAnsi"/>
          <w:sz w:val="20"/>
          <w:szCs w:val="20"/>
        </w:rPr>
        <w:t xml:space="preserve"> Richard Dawkins, speech, Edinburgh International Science Festival, April 15, 1992, quoted in Alister McGrath, </w:t>
      </w:r>
      <w:r w:rsidRPr="004B7F89">
        <w:rPr>
          <w:rFonts w:cstheme="minorHAnsi"/>
          <w:i/>
          <w:iCs/>
          <w:sz w:val="20"/>
          <w:szCs w:val="20"/>
        </w:rPr>
        <w:t>Christianity: An Introduction</w:t>
      </w:r>
      <w:r w:rsidRPr="004B7F89">
        <w:rPr>
          <w:rFonts w:cstheme="minorHAnsi"/>
          <w:sz w:val="20"/>
          <w:szCs w:val="20"/>
        </w:rPr>
        <w:t>, 2nd ed. (Malden, MA: Blackwell, 2006), 102.</w:t>
      </w:r>
    </w:p>
  </w:footnote>
  <w:footnote w:id="3">
    <w:p w14:paraId="051CD0BC" w14:textId="52223369" w:rsidR="00617B69" w:rsidRPr="004B7F89" w:rsidRDefault="00617B69" w:rsidP="0096454B">
      <w:pPr>
        <w:autoSpaceDE w:val="0"/>
        <w:autoSpaceDN w:val="0"/>
        <w:adjustRightInd w:val="0"/>
        <w:spacing w:after="0" w:line="240" w:lineRule="auto"/>
        <w:rPr>
          <w:rFonts w:cstheme="minorHAnsi"/>
          <w:sz w:val="20"/>
          <w:szCs w:val="20"/>
        </w:rPr>
      </w:pPr>
      <w:r w:rsidRPr="004B7F89">
        <w:rPr>
          <w:rFonts w:cstheme="minorHAnsi"/>
          <w:sz w:val="20"/>
          <w:szCs w:val="20"/>
          <w:vertAlign w:val="superscript"/>
        </w:rPr>
        <w:footnoteRef/>
      </w:r>
      <w:r w:rsidRPr="004B7F89">
        <w:rPr>
          <w:rFonts w:cstheme="minorHAnsi"/>
          <w:sz w:val="20"/>
          <w:szCs w:val="20"/>
        </w:rPr>
        <w:t xml:space="preserve"> Mark Twain, </w:t>
      </w:r>
      <w:r w:rsidR="00313720">
        <w:rPr>
          <w:rFonts w:cstheme="minorHAnsi"/>
          <w:i/>
          <w:color w:val="330000"/>
          <w:sz w:val="20"/>
          <w:szCs w:val="20"/>
        </w:rPr>
        <w:t>Following the Equator</w:t>
      </w:r>
      <w:r w:rsidRPr="004B7F89">
        <w:rPr>
          <w:rFonts w:cstheme="minorHAnsi"/>
          <w:color w:val="330000"/>
          <w:sz w:val="20"/>
          <w:szCs w:val="20"/>
        </w:rPr>
        <w:t xml:space="preserve"> (New York: Dover, 1989), 132. </w:t>
      </w:r>
    </w:p>
  </w:footnote>
  <w:footnote w:id="4">
    <w:p w14:paraId="3D80674E" w14:textId="026B0927" w:rsidR="00617B69" w:rsidRPr="004B7F89" w:rsidRDefault="00617B69" w:rsidP="0096454B">
      <w:pPr>
        <w:autoSpaceDE w:val="0"/>
        <w:autoSpaceDN w:val="0"/>
        <w:adjustRightInd w:val="0"/>
        <w:spacing w:after="0" w:line="240" w:lineRule="auto"/>
        <w:rPr>
          <w:rFonts w:cstheme="minorHAnsi"/>
          <w:sz w:val="20"/>
          <w:szCs w:val="20"/>
        </w:rPr>
      </w:pPr>
      <w:r w:rsidRPr="004B7F89">
        <w:rPr>
          <w:rFonts w:cstheme="minorHAnsi"/>
          <w:sz w:val="20"/>
          <w:szCs w:val="20"/>
          <w:vertAlign w:val="superscript"/>
        </w:rPr>
        <w:footnoteRef/>
      </w:r>
      <w:r w:rsidR="00313720">
        <w:rPr>
          <w:rFonts w:cstheme="minorHAnsi"/>
          <w:sz w:val="20"/>
          <w:szCs w:val="20"/>
        </w:rPr>
        <w:t xml:space="preserve"> Peter Boghossian,</w:t>
      </w:r>
      <w:r w:rsidRPr="004B7F89">
        <w:rPr>
          <w:rFonts w:cstheme="minorHAnsi"/>
          <w:sz w:val="20"/>
          <w:szCs w:val="20"/>
        </w:rPr>
        <w:t xml:space="preserve"> </w:t>
      </w:r>
      <w:r w:rsidRPr="004B7F89">
        <w:rPr>
          <w:rFonts w:cstheme="minorHAnsi"/>
          <w:i/>
          <w:sz w:val="20"/>
          <w:szCs w:val="20"/>
        </w:rPr>
        <w:t>A Manual for Creating Atheists</w:t>
      </w:r>
      <w:r w:rsidRPr="004B7F89">
        <w:rPr>
          <w:rFonts w:cstheme="minorHAnsi"/>
          <w:sz w:val="20"/>
          <w:szCs w:val="20"/>
        </w:rPr>
        <w:t xml:space="preserve"> (Durham, NC: Pitchstone, 2013), 23-24.</w:t>
      </w:r>
    </w:p>
  </w:footnote>
  <w:footnote w:id="5">
    <w:p w14:paraId="7DEAF4EC" w14:textId="0CC6DA84"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See </w:t>
      </w:r>
      <w:r w:rsidR="00313720">
        <w:rPr>
          <w:rFonts w:cstheme="minorHAnsi"/>
        </w:rPr>
        <w:t xml:space="preserve">Trent </w:t>
      </w:r>
      <w:r w:rsidRPr="004B7F89">
        <w:rPr>
          <w:rFonts w:cstheme="minorHAnsi"/>
        </w:rPr>
        <w:t>Dougherty</w:t>
      </w:r>
      <w:r w:rsidR="00313720">
        <w:rPr>
          <w:rFonts w:cstheme="minorHAnsi"/>
        </w:rPr>
        <w:t xml:space="preserve">, “Faith, Trust, and Testimony” in </w:t>
      </w:r>
      <w:r w:rsidR="00313720" w:rsidRPr="00B01AF7">
        <w:rPr>
          <w:rFonts w:cstheme="minorHAnsi"/>
          <w:i/>
        </w:rPr>
        <w:t>Religious Faith and Intellectual Virtue</w:t>
      </w:r>
      <w:r w:rsidR="00313720">
        <w:rPr>
          <w:rFonts w:cstheme="minorHAnsi"/>
        </w:rPr>
        <w:t>, eds. Laura Frances Callahan and Timothy O’Connor (New York: Oxford University Press,</w:t>
      </w:r>
      <w:r w:rsidRPr="004B7F89">
        <w:rPr>
          <w:rFonts w:cstheme="minorHAnsi"/>
        </w:rPr>
        <w:t xml:space="preserve"> </w:t>
      </w:r>
      <w:r w:rsidR="00313720">
        <w:rPr>
          <w:rFonts w:cstheme="minorHAnsi"/>
        </w:rPr>
        <w:t>2014)</w:t>
      </w:r>
      <w:r w:rsidRPr="004B7F89">
        <w:rPr>
          <w:rFonts w:cstheme="minorHAnsi"/>
        </w:rPr>
        <w:t>, 1</w:t>
      </w:r>
      <w:r w:rsidR="00313720">
        <w:rPr>
          <w:rFonts w:cstheme="minorHAnsi"/>
        </w:rPr>
        <w:t xml:space="preserve">05; Lara Buchak, “Faith and Steadfastness in the Face of Counter-evidence” </w:t>
      </w:r>
      <w:r w:rsidR="00313720" w:rsidRPr="004B7F89">
        <w:rPr>
          <w:rFonts w:cstheme="minorHAnsi"/>
          <w:i/>
        </w:rPr>
        <w:t>International Journal for Philosophy of Religion</w:t>
      </w:r>
      <w:r w:rsidR="00313720">
        <w:rPr>
          <w:rFonts w:cstheme="minorHAnsi"/>
          <w:i/>
        </w:rPr>
        <w:t xml:space="preserve"> </w:t>
      </w:r>
      <w:r w:rsidR="00313720" w:rsidRPr="00313720">
        <w:rPr>
          <w:rFonts w:cstheme="minorHAnsi"/>
        </w:rPr>
        <w:t>81 (</w:t>
      </w:r>
      <w:r w:rsidR="00313720">
        <w:rPr>
          <w:rFonts w:cstheme="minorHAnsi"/>
        </w:rPr>
        <w:t>2017): 113-133.</w:t>
      </w:r>
    </w:p>
  </w:footnote>
  <w:footnote w:id="6">
    <w:p w14:paraId="5ABA9A5F" w14:textId="7EDB2EFB"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w:t>
      </w:r>
      <w:r w:rsidR="00B01AF7">
        <w:rPr>
          <w:rFonts w:cstheme="minorHAnsi"/>
        </w:rPr>
        <w:t xml:space="preserve">Lara </w:t>
      </w:r>
      <w:r w:rsidRPr="004B7F89">
        <w:rPr>
          <w:rFonts w:cstheme="minorHAnsi"/>
        </w:rPr>
        <w:t>Buchak</w:t>
      </w:r>
      <w:r w:rsidR="00B01AF7">
        <w:rPr>
          <w:rFonts w:cstheme="minorHAnsi"/>
        </w:rPr>
        <w:t xml:space="preserve">, </w:t>
      </w:r>
      <w:r w:rsidR="00E30A5D">
        <w:rPr>
          <w:rFonts w:cstheme="minorHAnsi"/>
        </w:rPr>
        <w:t xml:space="preserve">“Rational Faith and Justified Belief,” in </w:t>
      </w:r>
      <w:r w:rsidR="00E30A5D" w:rsidRPr="00B01AF7">
        <w:rPr>
          <w:rFonts w:cstheme="minorHAnsi"/>
          <w:i/>
        </w:rPr>
        <w:t>Religious Faith and Intellectual Virtue</w:t>
      </w:r>
      <w:r w:rsidR="00E30A5D">
        <w:rPr>
          <w:rFonts w:cstheme="minorHAnsi"/>
        </w:rPr>
        <w:t>, eds. Laura Frances Callahan and Timothy O’Connor (New York: Oxford University Press,</w:t>
      </w:r>
      <w:r w:rsidR="00E30A5D" w:rsidRPr="004B7F89">
        <w:rPr>
          <w:rFonts w:cstheme="minorHAnsi"/>
        </w:rPr>
        <w:t xml:space="preserve"> </w:t>
      </w:r>
      <w:r w:rsidR="00E30A5D">
        <w:rPr>
          <w:rFonts w:cstheme="minorHAnsi"/>
        </w:rPr>
        <w:t>2014)</w:t>
      </w:r>
      <w:r w:rsidR="00E30A5D" w:rsidRPr="004B7F89">
        <w:rPr>
          <w:rFonts w:cstheme="minorHAnsi"/>
        </w:rPr>
        <w:t>,</w:t>
      </w:r>
      <w:r w:rsidR="00E30A5D">
        <w:rPr>
          <w:rFonts w:cstheme="minorHAnsi"/>
        </w:rPr>
        <w:t xml:space="preserve"> </w:t>
      </w:r>
      <w:r w:rsidRPr="004B7F89">
        <w:rPr>
          <w:rFonts w:cstheme="minorHAnsi"/>
        </w:rPr>
        <w:t>52.</w:t>
      </w:r>
    </w:p>
  </w:footnote>
  <w:footnote w:id="7">
    <w:p w14:paraId="6C680979" w14:textId="00F11BCF" w:rsidR="00617B69" w:rsidRPr="004B7F89" w:rsidRDefault="00617B69" w:rsidP="0022506B">
      <w:pPr>
        <w:pStyle w:val="FootnoteText"/>
        <w:rPr>
          <w:rFonts w:cstheme="minorHAnsi"/>
        </w:rPr>
      </w:pPr>
      <w:r w:rsidRPr="004B7F89">
        <w:rPr>
          <w:rStyle w:val="FootnoteReference"/>
          <w:rFonts w:cstheme="minorHAnsi"/>
        </w:rPr>
        <w:footnoteRef/>
      </w:r>
      <w:r w:rsidRPr="004B7F89">
        <w:rPr>
          <w:rFonts w:cstheme="minorHAnsi"/>
        </w:rPr>
        <w:t xml:space="preserve"> There </w:t>
      </w:r>
      <w:r w:rsidR="0022506B">
        <w:rPr>
          <w:rFonts w:cstheme="minorHAnsi"/>
        </w:rPr>
        <w:t>is a family of views</w:t>
      </w:r>
      <w:r w:rsidRPr="004B7F89">
        <w:rPr>
          <w:rFonts w:cstheme="minorHAnsi"/>
        </w:rPr>
        <w:t xml:space="preserve"> </w:t>
      </w:r>
      <w:r w:rsidR="0022506B">
        <w:rPr>
          <w:rFonts w:cstheme="minorHAnsi"/>
        </w:rPr>
        <w:t xml:space="preserve">Daniel </w:t>
      </w:r>
      <w:r w:rsidRPr="004B7F89">
        <w:rPr>
          <w:rFonts w:eastAsia="Times New Roman" w:cstheme="minorHAnsi"/>
        </w:rPr>
        <w:t xml:space="preserve">McKaughan and </w:t>
      </w:r>
      <w:r w:rsidR="0022506B">
        <w:rPr>
          <w:rFonts w:eastAsia="Times New Roman" w:cstheme="minorHAnsi"/>
        </w:rPr>
        <w:t xml:space="preserve">Daniel </w:t>
      </w:r>
      <w:r w:rsidRPr="004B7F89">
        <w:rPr>
          <w:rFonts w:eastAsia="Times New Roman" w:cstheme="minorHAnsi"/>
        </w:rPr>
        <w:t xml:space="preserve">Howard-Snyder call </w:t>
      </w:r>
      <w:r w:rsidRPr="004B7F89">
        <w:rPr>
          <w:rFonts w:eastAsia="Times New Roman" w:cstheme="minorHAnsi"/>
          <w:i/>
        </w:rPr>
        <w:t>belief plus</w:t>
      </w:r>
      <w:r w:rsidRPr="004B7F89">
        <w:rPr>
          <w:rFonts w:eastAsia="Times New Roman" w:cstheme="minorHAnsi"/>
        </w:rPr>
        <w:t xml:space="preserve"> where faith is belief coupled with states, such as commitments or affections.</w:t>
      </w:r>
      <w:r w:rsidR="0022506B">
        <w:rPr>
          <w:rFonts w:eastAsia="Times New Roman" w:cstheme="minorHAnsi"/>
        </w:rPr>
        <w:t xml:space="preserve"> See Daniel McKaughan and Daniel Howard-Snyder, “Faith</w:t>
      </w:r>
      <w:r w:rsidR="00657EC2">
        <w:rPr>
          <w:rFonts w:eastAsia="Times New Roman" w:cstheme="minorHAnsi"/>
        </w:rPr>
        <w:t>,</w:t>
      </w:r>
      <w:r w:rsidR="0022506B">
        <w:rPr>
          <w:rFonts w:eastAsia="Times New Roman" w:cstheme="minorHAnsi"/>
        </w:rPr>
        <w:t>”</w:t>
      </w:r>
      <w:r w:rsidR="0022506B">
        <w:t xml:space="preserve"> in </w:t>
      </w:r>
      <w:r w:rsidR="0022506B">
        <w:rPr>
          <w:rStyle w:val="Emphasis"/>
        </w:rPr>
        <w:t>The Encyclopedia of Philosophy of Religion</w:t>
      </w:r>
      <w:r w:rsidR="00657EC2">
        <w:rPr>
          <w:rStyle w:val="Emphasis"/>
        </w:rPr>
        <w:t>,</w:t>
      </w:r>
      <w:r w:rsidR="0022506B">
        <w:t xml:space="preserve"> eds. Stewa</w:t>
      </w:r>
      <w:r w:rsidR="00657EC2">
        <w:t>rt Goetz and Charles Taliaferro</w:t>
      </w:r>
      <w:r w:rsidR="0022506B">
        <w:t xml:space="preserve"> (</w:t>
      </w:r>
      <w:r w:rsidR="00657EC2">
        <w:t xml:space="preserve">Malden, MA: </w:t>
      </w:r>
      <w:r w:rsidR="0022506B">
        <w:t>Wiley-Blackwell</w:t>
      </w:r>
      <w:r w:rsidR="00657EC2">
        <w:t>,</w:t>
      </w:r>
      <w:r w:rsidR="0022506B">
        <w:t xml:space="preserve"> forthcoming)</w:t>
      </w:r>
      <w:r w:rsidR="00657EC2">
        <w:t>.</w:t>
      </w:r>
    </w:p>
  </w:footnote>
  <w:footnote w:id="8">
    <w:p w14:paraId="3D5B56A2" w14:textId="7E9D8EE1" w:rsidR="00617B69" w:rsidRPr="004B7F89" w:rsidRDefault="00617B69">
      <w:pPr>
        <w:pStyle w:val="FootnoteText"/>
        <w:rPr>
          <w:rFonts w:cstheme="minorHAnsi"/>
        </w:rPr>
      </w:pPr>
      <w:r w:rsidRPr="004B7F89">
        <w:rPr>
          <w:rStyle w:val="FootnoteReference"/>
          <w:rFonts w:cstheme="minorHAnsi"/>
        </w:rPr>
        <w:footnoteRef/>
      </w:r>
      <w:r w:rsidR="00657EC2">
        <w:rPr>
          <w:rFonts w:cstheme="minorHAnsi"/>
        </w:rPr>
        <w:t xml:space="preserve"> Buchak</w:t>
      </w:r>
      <w:r w:rsidRPr="004B7F89">
        <w:rPr>
          <w:rFonts w:cstheme="minorHAnsi"/>
        </w:rPr>
        <w:t xml:space="preserve"> makes a distinction between interpersonal faith and propositional faith. She expresses hope “that the correct account of interpersonal faith will ultimately rest on an account of propositional faith: for example, to have faith in a person is to have faith that some facts about her obtain.” </w:t>
      </w:r>
      <w:r w:rsidR="00657EC2">
        <w:rPr>
          <w:rFonts w:cstheme="minorHAnsi"/>
        </w:rPr>
        <w:t>Buchak, “Rational Faith and Justified Belief,” 52.</w:t>
      </w:r>
    </w:p>
  </w:footnote>
  <w:footnote w:id="9">
    <w:p w14:paraId="7BF73292" w14:textId="4E648D9F"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Buchak (2014), 49. This view is further explained and defended in</w:t>
      </w:r>
      <w:r w:rsidR="00E30A5D">
        <w:rPr>
          <w:rFonts w:cstheme="minorHAnsi"/>
        </w:rPr>
        <w:t xml:space="preserve"> Lara</w:t>
      </w:r>
      <w:r w:rsidRPr="004B7F89">
        <w:rPr>
          <w:rFonts w:cstheme="minorHAnsi"/>
        </w:rPr>
        <w:t xml:space="preserve"> Buchak</w:t>
      </w:r>
      <w:r w:rsidR="00E30A5D">
        <w:rPr>
          <w:rFonts w:cstheme="minorHAnsi"/>
        </w:rPr>
        <w:t>,</w:t>
      </w:r>
      <w:r w:rsidRPr="004B7F89">
        <w:rPr>
          <w:rFonts w:cstheme="minorHAnsi"/>
        </w:rPr>
        <w:t xml:space="preserve"> </w:t>
      </w:r>
      <w:r w:rsidR="00E30A5D">
        <w:rPr>
          <w:rFonts w:cstheme="minorHAnsi"/>
        </w:rPr>
        <w:t xml:space="preserve">“Can It be Ratonal to Have Faith,” in </w:t>
      </w:r>
      <w:r w:rsidR="00E30A5D" w:rsidRPr="00B01AF7">
        <w:rPr>
          <w:rFonts w:cstheme="minorHAnsi"/>
          <w:i/>
        </w:rPr>
        <w:t>Probability in the Philosophy of Religion</w:t>
      </w:r>
      <w:r w:rsidR="00E30A5D">
        <w:rPr>
          <w:rFonts w:cstheme="minorHAnsi"/>
        </w:rPr>
        <w:t>, eds. Jake Chandler and Victoria S. Harrison (New York: Oxford University Press, 2012</w:t>
      </w:r>
      <w:r w:rsidR="00E30A5D" w:rsidRPr="004B7F89">
        <w:rPr>
          <w:rFonts w:cstheme="minorHAnsi"/>
        </w:rPr>
        <w:t>)</w:t>
      </w:r>
      <w:r w:rsidRPr="004B7F89">
        <w:rPr>
          <w:rFonts w:cstheme="minorHAnsi"/>
        </w:rPr>
        <w:t>, 225-248.</w:t>
      </w:r>
    </w:p>
  </w:footnote>
  <w:footnote w:id="10">
    <w:p w14:paraId="609627EF" w14:textId="3D5E6599" w:rsidR="00E30A5D" w:rsidRDefault="00E30A5D">
      <w:pPr>
        <w:pStyle w:val="FootnoteText"/>
      </w:pPr>
      <w:r>
        <w:rPr>
          <w:rStyle w:val="FootnoteReference"/>
        </w:rPr>
        <w:footnoteRef/>
      </w:r>
      <w:r>
        <w:t xml:space="preserve"> Buchak, “Can It be Rational to Have Faith,” 226.</w:t>
      </w:r>
    </w:p>
  </w:footnote>
  <w:footnote w:id="11">
    <w:p w14:paraId="27EBA2F9" w14:textId="17024739" w:rsidR="00617B69" w:rsidRPr="004B7F89" w:rsidRDefault="00617B69" w:rsidP="0089796E">
      <w:pPr>
        <w:autoSpaceDE w:val="0"/>
        <w:autoSpaceDN w:val="0"/>
        <w:adjustRightInd w:val="0"/>
        <w:spacing w:after="0" w:line="240" w:lineRule="auto"/>
        <w:rPr>
          <w:rFonts w:cstheme="minorHAnsi"/>
          <w:sz w:val="20"/>
          <w:szCs w:val="20"/>
        </w:rPr>
      </w:pPr>
      <w:r w:rsidRPr="004B7F89">
        <w:rPr>
          <w:rStyle w:val="FootnoteReference"/>
          <w:rFonts w:cstheme="minorHAnsi"/>
          <w:sz w:val="20"/>
          <w:szCs w:val="20"/>
        </w:rPr>
        <w:footnoteRef/>
      </w:r>
      <w:r w:rsidRPr="004B7F89">
        <w:rPr>
          <w:rFonts w:cstheme="minorHAnsi"/>
          <w:sz w:val="20"/>
          <w:szCs w:val="20"/>
        </w:rPr>
        <w:t xml:space="preserve"> Acquiescing to a claim seems to be similar to what other philosophers call “acceptance.” See </w:t>
      </w:r>
      <w:r w:rsidR="00657EC2">
        <w:rPr>
          <w:rFonts w:cstheme="minorHAnsi"/>
          <w:sz w:val="20"/>
          <w:szCs w:val="20"/>
        </w:rPr>
        <w:t xml:space="preserve">Jonathan L. </w:t>
      </w:r>
      <w:r w:rsidRPr="004B7F89">
        <w:rPr>
          <w:rFonts w:cstheme="minorHAnsi"/>
          <w:sz w:val="20"/>
          <w:szCs w:val="20"/>
        </w:rPr>
        <w:t>Cohen</w:t>
      </w:r>
      <w:r w:rsidR="00657EC2">
        <w:rPr>
          <w:rFonts w:cstheme="minorHAnsi"/>
          <w:sz w:val="20"/>
          <w:szCs w:val="20"/>
        </w:rPr>
        <w:t>,</w:t>
      </w:r>
      <w:r w:rsidRPr="004B7F89">
        <w:rPr>
          <w:rFonts w:cstheme="minorHAnsi"/>
          <w:sz w:val="20"/>
          <w:szCs w:val="20"/>
        </w:rPr>
        <w:t xml:space="preserve"> </w:t>
      </w:r>
      <w:r w:rsidR="00657EC2">
        <w:rPr>
          <w:rFonts w:cstheme="minorHAnsi"/>
          <w:sz w:val="20"/>
          <w:szCs w:val="20"/>
        </w:rPr>
        <w:t>A</w:t>
      </w:r>
      <w:r w:rsidRPr="004B7F89">
        <w:rPr>
          <w:rFonts w:cstheme="minorHAnsi"/>
          <w:i/>
          <w:sz w:val="20"/>
          <w:szCs w:val="20"/>
        </w:rPr>
        <w:t>n Essay on Belief and Acceptance</w:t>
      </w:r>
      <w:r w:rsidRPr="004B7F89">
        <w:rPr>
          <w:rFonts w:cstheme="minorHAnsi"/>
          <w:sz w:val="20"/>
          <w:szCs w:val="20"/>
        </w:rPr>
        <w:t xml:space="preserve"> (</w:t>
      </w:r>
      <w:r w:rsidR="00657EC2">
        <w:rPr>
          <w:rFonts w:cstheme="minorHAnsi"/>
          <w:sz w:val="20"/>
          <w:szCs w:val="20"/>
        </w:rPr>
        <w:t>New York</w:t>
      </w:r>
      <w:r w:rsidRPr="004B7F89">
        <w:rPr>
          <w:rFonts w:cstheme="minorHAnsi"/>
          <w:sz w:val="20"/>
          <w:szCs w:val="20"/>
        </w:rPr>
        <w:t>: Oxford University Press</w:t>
      </w:r>
      <w:r w:rsidR="00657EC2">
        <w:rPr>
          <w:rFonts w:cstheme="minorHAnsi"/>
          <w:sz w:val="20"/>
          <w:szCs w:val="20"/>
        </w:rPr>
        <w:t xml:space="preserve">, </w:t>
      </w:r>
      <w:r w:rsidR="00657EC2" w:rsidRPr="004B7F89">
        <w:rPr>
          <w:rFonts w:eastAsia="AdvOT9a61103f+f6" w:cstheme="minorHAnsi"/>
          <w:sz w:val="20"/>
          <w:szCs w:val="20"/>
        </w:rPr>
        <w:t>1992</w:t>
      </w:r>
      <w:r w:rsidR="00657EC2" w:rsidRPr="004B7F89">
        <w:rPr>
          <w:rFonts w:cstheme="minorHAnsi"/>
          <w:sz w:val="20"/>
          <w:szCs w:val="20"/>
        </w:rPr>
        <w:t>)</w:t>
      </w:r>
      <w:r w:rsidRPr="004B7F89">
        <w:rPr>
          <w:rFonts w:cstheme="minorHAnsi"/>
          <w:sz w:val="20"/>
          <w:szCs w:val="20"/>
        </w:rPr>
        <w:t xml:space="preserve">). William Alston also adopts a similar account of acceptance </w:t>
      </w:r>
      <w:r w:rsidR="00657EC2">
        <w:rPr>
          <w:rFonts w:cstheme="minorHAnsi"/>
          <w:sz w:val="20"/>
          <w:szCs w:val="20"/>
        </w:rPr>
        <w:t>for</w:t>
      </w:r>
      <w:r w:rsidRPr="004B7F89">
        <w:rPr>
          <w:rFonts w:cstheme="minorHAnsi"/>
          <w:sz w:val="20"/>
          <w:szCs w:val="20"/>
        </w:rPr>
        <w:t xml:space="preserve"> his account of faith in </w:t>
      </w:r>
      <w:r w:rsidR="00657EC2">
        <w:rPr>
          <w:rFonts w:cstheme="minorHAnsi"/>
          <w:sz w:val="20"/>
          <w:szCs w:val="20"/>
        </w:rPr>
        <w:t xml:space="preserve">William </w:t>
      </w:r>
      <w:r w:rsidRPr="004B7F89">
        <w:rPr>
          <w:rFonts w:cstheme="minorHAnsi"/>
          <w:sz w:val="20"/>
          <w:szCs w:val="20"/>
        </w:rPr>
        <w:t xml:space="preserve">Alston “Belief, acceptance, and religious faith,” in </w:t>
      </w:r>
      <w:r w:rsidR="00657EC2" w:rsidRPr="004B7F89">
        <w:rPr>
          <w:rFonts w:cstheme="minorHAnsi"/>
          <w:i/>
          <w:sz w:val="20"/>
          <w:szCs w:val="20"/>
        </w:rPr>
        <w:t>Faith, Freedom, and Rationality</w:t>
      </w:r>
      <w:r w:rsidR="00657EC2" w:rsidRPr="00657EC2">
        <w:rPr>
          <w:rFonts w:cstheme="minorHAnsi"/>
          <w:sz w:val="20"/>
          <w:szCs w:val="20"/>
        </w:rPr>
        <w:t>,</w:t>
      </w:r>
      <w:r w:rsidR="00657EC2">
        <w:rPr>
          <w:rFonts w:cstheme="minorHAnsi"/>
          <w:sz w:val="20"/>
          <w:szCs w:val="20"/>
        </w:rPr>
        <w:t xml:space="preserve"> eds. </w:t>
      </w:r>
      <w:r w:rsidRPr="004B7F89">
        <w:rPr>
          <w:rFonts w:cstheme="minorHAnsi"/>
          <w:sz w:val="20"/>
          <w:szCs w:val="20"/>
        </w:rPr>
        <w:t xml:space="preserve">Jeff Jordan &amp; Daniel Howard-Snyder </w:t>
      </w:r>
      <w:r w:rsidR="00657EC2">
        <w:rPr>
          <w:rFonts w:cstheme="minorHAnsi"/>
          <w:sz w:val="20"/>
          <w:szCs w:val="20"/>
        </w:rPr>
        <w:t xml:space="preserve">(Lanham: Rowman &amp; Littlefield, </w:t>
      </w:r>
      <w:r w:rsidR="00657EC2" w:rsidRPr="004B7F89">
        <w:rPr>
          <w:rFonts w:eastAsia="AdvOT9a61103f+f6" w:cstheme="minorHAnsi"/>
          <w:sz w:val="20"/>
          <w:szCs w:val="20"/>
        </w:rPr>
        <w:t>1996</w:t>
      </w:r>
      <w:r w:rsidR="00657EC2" w:rsidRPr="004B7F89">
        <w:rPr>
          <w:rFonts w:cstheme="minorHAnsi"/>
          <w:sz w:val="20"/>
          <w:szCs w:val="20"/>
        </w:rPr>
        <w:t>)</w:t>
      </w:r>
      <w:r w:rsidRPr="004B7F89">
        <w:rPr>
          <w:rFonts w:cstheme="minorHAnsi"/>
          <w:sz w:val="20"/>
          <w:szCs w:val="20"/>
        </w:rPr>
        <w:t xml:space="preserve">), </w:t>
      </w:r>
      <w:r w:rsidRPr="004B7F89">
        <w:rPr>
          <w:rFonts w:eastAsia="AdvOT9a61103f+f6" w:cstheme="minorHAnsi"/>
          <w:sz w:val="20"/>
          <w:szCs w:val="20"/>
        </w:rPr>
        <w:t>3-27.</w:t>
      </w:r>
    </w:p>
  </w:footnote>
  <w:footnote w:id="12">
    <w:p w14:paraId="360F0BF8" w14:textId="64081325"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For a different account of trust see </w:t>
      </w:r>
      <w:r w:rsidR="00657EC2">
        <w:rPr>
          <w:rFonts w:cstheme="minorHAnsi"/>
        </w:rPr>
        <w:t xml:space="preserve">Linda </w:t>
      </w:r>
      <w:r w:rsidRPr="004B7F89">
        <w:rPr>
          <w:rFonts w:cstheme="minorHAnsi"/>
        </w:rPr>
        <w:t>Zagzebski</w:t>
      </w:r>
      <w:r w:rsidR="00657EC2">
        <w:rPr>
          <w:rFonts w:cstheme="minorHAnsi"/>
        </w:rPr>
        <w:t>,</w:t>
      </w:r>
      <w:r w:rsidRPr="004B7F89">
        <w:rPr>
          <w:rFonts w:cstheme="minorHAnsi"/>
        </w:rPr>
        <w:t xml:space="preserve"> “Trust</w:t>
      </w:r>
      <w:r w:rsidR="00657EC2">
        <w:rPr>
          <w:rFonts w:cstheme="minorHAnsi"/>
        </w:rPr>
        <w:t>,</w:t>
      </w:r>
      <w:r w:rsidRPr="004B7F89">
        <w:rPr>
          <w:rFonts w:cstheme="minorHAnsi"/>
        </w:rPr>
        <w:t xml:space="preserve">” in </w:t>
      </w:r>
      <w:r w:rsidR="00657EC2" w:rsidRPr="00657EC2">
        <w:rPr>
          <w:rFonts w:cstheme="minorHAnsi"/>
          <w:i/>
        </w:rPr>
        <w:t>Virtues and Their Vices</w:t>
      </w:r>
      <w:r w:rsidR="00657EC2" w:rsidRPr="00657EC2">
        <w:rPr>
          <w:rFonts w:cstheme="minorHAnsi"/>
        </w:rPr>
        <w:t>, eds</w:t>
      </w:r>
      <w:r w:rsidR="00657EC2">
        <w:rPr>
          <w:rFonts w:cstheme="minorHAnsi"/>
        </w:rPr>
        <w:t>.</w:t>
      </w:r>
      <w:r w:rsidR="00657EC2" w:rsidRPr="004B7F89">
        <w:rPr>
          <w:rFonts w:cstheme="minorHAnsi"/>
        </w:rPr>
        <w:t xml:space="preserve"> </w:t>
      </w:r>
      <w:r w:rsidRPr="004B7F89">
        <w:rPr>
          <w:rFonts w:cstheme="minorHAnsi"/>
        </w:rPr>
        <w:t>Craig A. Boyd and Kevin Timpe (New York: Oxford University Press</w:t>
      </w:r>
      <w:r w:rsidR="00657EC2">
        <w:rPr>
          <w:rFonts w:cstheme="minorHAnsi"/>
        </w:rPr>
        <w:t>, 2016</w:t>
      </w:r>
      <w:r w:rsidRPr="004B7F89">
        <w:rPr>
          <w:rFonts w:cstheme="minorHAnsi"/>
        </w:rPr>
        <w:t>), 269-284.</w:t>
      </w:r>
    </w:p>
  </w:footnote>
  <w:footnote w:id="13">
    <w:p w14:paraId="2CB1F837" w14:textId="313D5D1B" w:rsidR="00617B69" w:rsidRPr="004B7F89" w:rsidRDefault="00617B69" w:rsidP="004C1CE4">
      <w:pPr>
        <w:pStyle w:val="FootnoteText"/>
        <w:rPr>
          <w:rFonts w:cstheme="minorHAnsi"/>
        </w:rPr>
      </w:pPr>
      <w:r w:rsidRPr="004B7F89">
        <w:rPr>
          <w:rStyle w:val="FootnoteReference"/>
          <w:rFonts w:cstheme="minorHAnsi"/>
        </w:rPr>
        <w:footnoteRef/>
      </w:r>
      <w:r w:rsidRPr="004B7F89">
        <w:rPr>
          <w:rFonts w:cstheme="minorHAnsi"/>
        </w:rPr>
        <w:t xml:space="preserve"> </w:t>
      </w:r>
      <w:r w:rsidR="00661757">
        <w:rPr>
          <w:rFonts w:cstheme="minorHAnsi"/>
        </w:rPr>
        <w:t xml:space="preserve">Richard </w:t>
      </w:r>
      <w:r w:rsidRPr="004B7F89">
        <w:rPr>
          <w:rFonts w:cstheme="minorHAnsi"/>
        </w:rPr>
        <w:t xml:space="preserve">Swinburne (2005), 143. There is an earlier discussion of what it is to act on an assumption. See 32-33. </w:t>
      </w:r>
    </w:p>
  </w:footnote>
  <w:footnote w:id="14">
    <w:p w14:paraId="628113EF" w14:textId="5085C5D1"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w:t>
      </w:r>
      <w:r w:rsidR="00661757">
        <w:rPr>
          <w:rFonts w:cstheme="minorHAnsi"/>
        </w:rPr>
        <w:t xml:space="preserve">Richard </w:t>
      </w:r>
      <w:r w:rsidRPr="004B7F89">
        <w:rPr>
          <w:rFonts w:cstheme="minorHAnsi"/>
        </w:rPr>
        <w:t>Swinburne</w:t>
      </w:r>
      <w:r w:rsidR="00661757">
        <w:rPr>
          <w:rFonts w:cstheme="minorHAnsi"/>
        </w:rPr>
        <w:t xml:space="preserve">, </w:t>
      </w:r>
      <w:r w:rsidR="00661757" w:rsidRPr="00661757">
        <w:rPr>
          <w:rFonts w:cstheme="minorHAnsi"/>
          <w:i/>
        </w:rPr>
        <w:t>Faith and Reason</w:t>
      </w:r>
      <w:r w:rsidRPr="004B7F89">
        <w:rPr>
          <w:rFonts w:cstheme="minorHAnsi"/>
        </w:rPr>
        <w:t xml:space="preserve"> </w:t>
      </w:r>
      <w:r w:rsidR="00661757">
        <w:rPr>
          <w:rFonts w:cstheme="minorHAnsi"/>
        </w:rPr>
        <w:t xml:space="preserve">(New York: Oxford University Press, </w:t>
      </w:r>
      <w:r w:rsidRPr="004B7F89">
        <w:rPr>
          <w:rFonts w:cstheme="minorHAnsi"/>
        </w:rPr>
        <w:t>2005), 143.</w:t>
      </w:r>
    </w:p>
  </w:footnote>
  <w:footnote w:id="15">
    <w:p w14:paraId="2CA11C0B" w14:textId="7F6F589B"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w:t>
      </w:r>
      <w:r w:rsidR="00661757">
        <w:rPr>
          <w:rFonts w:cstheme="minorHAnsi"/>
        </w:rPr>
        <w:t xml:space="preserve">Paul </w:t>
      </w:r>
      <w:r w:rsidRPr="004B7F89">
        <w:rPr>
          <w:rFonts w:cstheme="minorHAnsi"/>
        </w:rPr>
        <w:t xml:space="preserve">Helm, </w:t>
      </w:r>
      <w:r w:rsidR="00661757" w:rsidRPr="00661757">
        <w:rPr>
          <w:rFonts w:cstheme="minorHAnsi"/>
          <w:i/>
        </w:rPr>
        <w:t>Faith With Reason</w:t>
      </w:r>
      <w:r w:rsidR="00661757">
        <w:rPr>
          <w:rFonts w:cstheme="minorHAnsi"/>
        </w:rPr>
        <w:t xml:space="preserve"> (New York: Oxford University Press, 2000), </w:t>
      </w:r>
      <w:r w:rsidRPr="004B7F89">
        <w:rPr>
          <w:rFonts w:cstheme="minorHAnsi"/>
        </w:rPr>
        <w:t>143.</w:t>
      </w:r>
    </w:p>
  </w:footnote>
  <w:footnote w:id="16">
    <w:p w14:paraId="3A4BFF2A" w14:textId="77777777" w:rsidR="00617B69" w:rsidRPr="004B7F89" w:rsidRDefault="00617B69" w:rsidP="004B7F89">
      <w:pPr>
        <w:autoSpaceDE w:val="0"/>
        <w:autoSpaceDN w:val="0"/>
        <w:adjustRightInd w:val="0"/>
        <w:spacing w:after="0" w:line="240" w:lineRule="auto"/>
        <w:rPr>
          <w:rFonts w:cstheme="minorHAnsi"/>
          <w:sz w:val="20"/>
          <w:szCs w:val="20"/>
        </w:rPr>
      </w:pPr>
      <w:r w:rsidRPr="004B7F89">
        <w:rPr>
          <w:rStyle w:val="FootnoteReference"/>
          <w:rFonts w:cstheme="minorHAnsi"/>
          <w:sz w:val="20"/>
          <w:szCs w:val="20"/>
        </w:rPr>
        <w:footnoteRef/>
      </w:r>
      <w:r w:rsidRPr="004B7F89">
        <w:rPr>
          <w:rFonts w:cstheme="minorHAnsi"/>
          <w:sz w:val="20"/>
          <w:szCs w:val="20"/>
        </w:rPr>
        <w:t xml:space="preserve"> One concern with invoking this idea of assumptions is that we have brought back in to the picture something propositional. An assumption looks to be a kind of propositional attitude since, again, it fits the form S assumes </w:t>
      </w:r>
      <w:r w:rsidRPr="004B7F89">
        <w:rPr>
          <w:rFonts w:cstheme="minorHAnsi"/>
          <w:i/>
          <w:sz w:val="20"/>
          <w:szCs w:val="20"/>
        </w:rPr>
        <w:t>that p</w:t>
      </w:r>
      <w:r w:rsidRPr="004B7F89">
        <w:rPr>
          <w:rFonts w:cstheme="minorHAnsi"/>
          <w:sz w:val="20"/>
          <w:szCs w:val="20"/>
        </w:rPr>
        <w:t xml:space="preserve"> is the case. One should notice that Swinburne defines trust as an </w:t>
      </w:r>
      <w:r w:rsidRPr="004B7F89">
        <w:rPr>
          <w:rFonts w:cstheme="minorHAnsi"/>
          <w:i/>
          <w:sz w:val="20"/>
          <w:szCs w:val="20"/>
        </w:rPr>
        <w:t>action</w:t>
      </w:r>
      <w:r w:rsidRPr="004B7F89">
        <w:rPr>
          <w:rFonts w:cstheme="minorHAnsi"/>
          <w:sz w:val="20"/>
          <w:szCs w:val="20"/>
        </w:rPr>
        <w:t xml:space="preserve"> on the basis of certain assumptions. But even here he defines acting on the assumption that p counterfactually as </w:t>
      </w:r>
      <w:r w:rsidRPr="004B7F89">
        <w:rPr>
          <w:rFonts w:eastAsia="AdvPAD0C" w:cstheme="minorHAnsi"/>
          <w:sz w:val="20"/>
          <w:szCs w:val="20"/>
        </w:rPr>
        <w:t>doing those actions which you would do if you believed that p</w:t>
      </w:r>
      <w:r w:rsidRPr="004B7F89">
        <w:rPr>
          <w:rFonts w:cstheme="minorHAnsi"/>
          <w:sz w:val="20"/>
          <w:szCs w:val="20"/>
        </w:rPr>
        <w:t xml:space="preserve">. Though undoubtedly there are some propositional attitudes involved with these actions, they are not constitutive of the state. </w:t>
      </w:r>
    </w:p>
  </w:footnote>
  <w:footnote w:id="17">
    <w:p w14:paraId="71E40955" w14:textId="70290DCD"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w:t>
      </w:r>
      <w:r w:rsidR="00661757" w:rsidRPr="004B7F89">
        <w:rPr>
          <w:rFonts w:cstheme="minorHAnsi"/>
        </w:rPr>
        <w:t>William P.</w:t>
      </w:r>
      <w:r w:rsidR="00661757">
        <w:rPr>
          <w:rFonts w:cstheme="minorHAnsi"/>
        </w:rPr>
        <w:t xml:space="preserve"> Alston,</w:t>
      </w:r>
      <w:r w:rsidRPr="004B7F89">
        <w:rPr>
          <w:rFonts w:cstheme="minorHAnsi"/>
        </w:rPr>
        <w:t xml:space="preserve"> </w:t>
      </w:r>
      <w:r w:rsidRPr="004B7F89">
        <w:rPr>
          <w:rStyle w:val="Emphasis"/>
          <w:rFonts w:cstheme="minorHAnsi"/>
        </w:rPr>
        <w:t>Epistemic justification: essays in the theory of knowledge</w:t>
      </w:r>
      <w:r w:rsidRPr="004B7F89">
        <w:rPr>
          <w:rFonts w:cstheme="minorHAnsi"/>
        </w:rPr>
        <w:t xml:space="preserve"> (Ithaca, NY: Cornell</w:t>
      </w:r>
      <w:r w:rsidR="00661757">
        <w:rPr>
          <w:rFonts w:cstheme="minorHAnsi"/>
        </w:rPr>
        <w:t>, 1989</w:t>
      </w:r>
      <w:r w:rsidRPr="004B7F89">
        <w:rPr>
          <w:rFonts w:cstheme="minorHAnsi"/>
        </w:rPr>
        <w:t>), 119.</w:t>
      </w:r>
    </w:p>
  </w:footnote>
  <w:footnote w:id="18">
    <w:p w14:paraId="4C47A604" w14:textId="4B737D84" w:rsidR="00617B69" w:rsidRPr="004B7F89" w:rsidRDefault="00617B69" w:rsidP="004B7F89">
      <w:pPr>
        <w:autoSpaceDE w:val="0"/>
        <w:autoSpaceDN w:val="0"/>
        <w:adjustRightInd w:val="0"/>
        <w:spacing w:after="0" w:line="240" w:lineRule="auto"/>
        <w:ind w:right="-720"/>
        <w:rPr>
          <w:rFonts w:cstheme="minorHAnsi"/>
          <w:sz w:val="20"/>
          <w:szCs w:val="20"/>
        </w:rPr>
      </w:pPr>
      <w:r w:rsidRPr="004B7F89">
        <w:rPr>
          <w:rStyle w:val="FootnoteReference"/>
          <w:rFonts w:cstheme="minorHAnsi"/>
          <w:sz w:val="20"/>
          <w:szCs w:val="20"/>
        </w:rPr>
        <w:footnoteRef/>
      </w:r>
      <w:r w:rsidRPr="004B7F89">
        <w:rPr>
          <w:rFonts w:cstheme="minorHAnsi"/>
          <w:sz w:val="20"/>
          <w:szCs w:val="20"/>
        </w:rPr>
        <w:t xml:space="preserve"> I can manipulate my beliefs by choosing to seek out a balanced set of evidence as I form my beliefs. Or I can choose to surround myself with an echo chamber of views I want to hold and keep myself from the views I would like to avoid. I am clearly making choices here and these choices will likely influence my beliefs even though I do not have direct voluntary control.</w:t>
      </w:r>
    </w:p>
  </w:footnote>
  <w:footnote w:id="19">
    <w:p w14:paraId="563AE0DC" w14:textId="794D2B4E" w:rsidR="00617B69" w:rsidRPr="004B7F89" w:rsidRDefault="00617B69" w:rsidP="007231E6">
      <w:pPr>
        <w:pStyle w:val="FootnoteText"/>
        <w:rPr>
          <w:rFonts w:cstheme="minorHAnsi"/>
        </w:rPr>
      </w:pPr>
      <w:r w:rsidRPr="004B7F89">
        <w:rPr>
          <w:rStyle w:val="FootnoteReference"/>
          <w:rFonts w:cstheme="minorHAnsi"/>
        </w:rPr>
        <w:footnoteRef/>
      </w:r>
      <w:r w:rsidRPr="004B7F89">
        <w:rPr>
          <w:rFonts w:cstheme="minorHAnsi"/>
        </w:rPr>
        <w:t xml:space="preserve"> See for example the Roman centurion (Matt. 8:10) and the Syrophoenician woman (Matt. 15:28). </w:t>
      </w:r>
    </w:p>
  </w:footnote>
  <w:footnote w:id="20">
    <w:p w14:paraId="44EAC1B2" w14:textId="4A0A2EA4" w:rsidR="00617B69" w:rsidRPr="004B7F89" w:rsidRDefault="00617B69" w:rsidP="00D02A06">
      <w:pPr>
        <w:pStyle w:val="FootnoteText"/>
        <w:rPr>
          <w:rFonts w:cstheme="minorHAnsi"/>
        </w:rPr>
      </w:pPr>
      <w:r w:rsidRPr="004B7F89">
        <w:rPr>
          <w:rStyle w:val="FootnoteReference"/>
          <w:rFonts w:cstheme="minorHAnsi"/>
        </w:rPr>
        <w:footnoteRef/>
      </w:r>
      <w:r w:rsidRPr="004B7F89">
        <w:rPr>
          <w:rFonts w:cstheme="minorHAnsi"/>
        </w:rPr>
        <w:t xml:space="preserve"> </w:t>
      </w:r>
      <w:r w:rsidRPr="004B7F89">
        <w:rPr>
          <w:rFonts w:eastAsia="Times New Roman" w:cstheme="minorHAnsi"/>
        </w:rPr>
        <w:t>As we shall see shortly, this makes our intentions towards one another an important feature of our relationship.</w:t>
      </w:r>
    </w:p>
  </w:footnote>
  <w:footnote w:id="21">
    <w:p w14:paraId="72870903" w14:textId="61F06091" w:rsidR="00617B69" w:rsidRPr="004B7F89" w:rsidRDefault="00617B69" w:rsidP="00283049">
      <w:pPr>
        <w:pStyle w:val="FootnoteText"/>
        <w:rPr>
          <w:rFonts w:cstheme="minorHAnsi"/>
        </w:rPr>
      </w:pPr>
      <w:r w:rsidRPr="004B7F89">
        <w:rPr>
          <w:rStyle w:val="FootnoteReference"/>
          <w:rFonts w:cstheme="minorHAnsi"/>
        </w:rPr>
        <w:footnoteRef/>
      </w:r>
      <w:r w:rsidRPr="004B7F89">
        <w:rPr>
          <w:rFonts w:cstheme="minorHAnsi"/>
        </w:rPr>
        <w:t xml:space="preserve"> To be clear, Swinburne is primarily focused on accounts of Christin faith.</w:t>
      </w:r>
    </w:p>
  </w:footnote>
  <w:footnote w:id="22">
    <w:p w14:paraId="0530754B" w14:textId="4D345C1E" w:rsidR="00617B69" w:rsidRPr="004B7F89" w:rsidRDefault="00617B69" w:rsidP="00941C00">
      <w:pPr>
        <w:pStyle w:val="FootnoteText"/>
        <w:rPr>
          <w:rFonts w:cstheme="minorHAnsi"/>
        </w:rPr>
      </w:pPr>
      <w:r w:rsidRPr="004B7F89">
        <w:rPr>
          <w:rStyle w:val="FootnoteReference"/>
          <w:rFonts w:cstheme="minorHAnsi"/>
        </w:rPr>
        <w:footnoteRef/>
      </w:r>
      <w:r w:rsidRPr="004B7F89">
        <w:rPr>
          <w:rFonts w:cstheme="minorHAnsi"/>
        </w:rPr>
        <w:t xml:space="preserve"> Swinburne,</w:t>
      </w:r>
      <w:r w:rsidR="00661757">
        <w:rPr>
          <w:rFonts w:cstheme="minorHAnsi"/>
        </w:rPr>
        <w:t xml:space="preserve"> </w:t>
      </w:r>
      <w:r w:rsidR="00661757" w:rsidRPr="00661757">
        <w:rPr>
          <w:rFonts w:cstheme="minorHAnsi"/>
          <w:i/>
        </w:rPr>
        <w:t>Faith and Reason</w:t>
      </w:r>
      <w:r w:rsidR="00661757">
        <w:rPr>
          <w:rFonts w:cstheme="minorHAnsi"/>
        </w:rPr>
        <w:t>,</w:t>
      </w:r>
      <w:r w:rsidRPr="004B7F89">
        <w:rPr>
          <w:rFonts w:cstheme="minorHAnsi"/>
        </w:rPr>
        <w:t xml:space="preserve"> 145. </w:t>
      </w:r>
    </w:p>
  </w:footnote>
  <w:footnote w:id="23">
    <w:p w14:paraId="539177AB" w14:textId="21537365" w:rsidR="00617B69" w:rsidRPr="004B7F89" w:rsidRDefault="00617B69" w:rsidP="004B7F89">
      <w:pPr>
        <w:autoSpaceDE w:val="0"/>
        <w:autoSpaceDN w:val="0"/>
        <w:adjustRightInd w:val="0"/>
        <w:spacing w:after="0" w:line="276" w:lineRule="auto"/>
        <w:ind w:right="-720"/>
        <w:rPr>
          <w:rFonts w:cstheme="minorHAnsi"/>
          <w:sz w:val="20"/>
          <w:szCs w:val="20"/>
        </w:rPr>
      </w:pPr>
      <w:r w:rsidRPr="004B7F89">
        <w:rPr>
          <w:rStyle w:val="FootnoteReference"/>
          <w:rFonts w:cstheme="minorHAnsi"/>
          <w:sz w:val="20"/>
          <w:szCs w:val="20"/>
        </w:rPr>
        <w:footnoteRef/>
      </w:r>
      <w:r w:rsidRPr="004B7F89">
        <w:rPr>
          <w:rFonts w:cstheme="minorHAnsi"/>
          <w:sz w:val="20"/>
          <w:szCs w:val="20"/>
        </w:rPr>
        <w:t xml:space="preserve"> Aristotle says, “Those who wish good things to their friends for the sake of the latter are friends most of all, because they do so because of their friends themselves, and not coincidentally” (1156b9-11).</w:t>
      </w:r>
    </w:p>
  </w:footnote>
  <w:footnote w:id="24">
    <w:p w14:paraId="573C51AA" w14:textId="6C4CA62B" w:rsidR="00617B69" w:rsidRPr="004B7F89" w:rsidRDefault="00617B69" w:rsidP="006E2450">
      <w:pPr>
        <w:pStyle w:val="FootnoteText"/>
        <w:rPr>
          <w:rFonts w:cstheme="minorHAnsi"/>
        </w:rPr>
      </w:pPr>
      <w:r w:rsidRPr="004B7F89">
        <w:rPr>
          <w:rStyle w:val="FootnoteReference"/>
          <w:rFonts w:cstheme="minorHAnsi"/>
        </w:rPr>
        <w:footnoteRef/>
      </w:r>
      <w:r w:rsidRPr="004B7F89">
        <w:rPr>
          <w:rFonts w:cstheme="minorHAnsi"/>
        </w:rPr>
        <w:t xml:space="preserve"> Kevin McCain, </w:t>
      </w:r>
      <w:r w:rsidRPr="004B7F89">
        <w:rPr>
          <w:rFonts w:cstheme="minorHAnsi"/>
          <w:i/>
        </w:rPr>
        <w:t xml:space="preserve">Evidentialism and Epistemic Justification </w:t>
      </w:r>
      <w:r w:rsidRPr="004B7F89">
        <w:rPr>
          <w:rFonts w:cstheme="minorHAnsi"/>
        </w:rPr>
        <w:t xml:space="preserve">(New York: Routledge, 2014), 10. </w:t>
      </w:r>
    </w:p>
  </w:footnote>
  <w:footnote w:id="25">
    <w:p w14:paraId="6D8EEAC8" w14:textId="3E949DA8" w:rsidR="00617B69" w:rsidRPr="004B7F89" w:rsidRDefault="00617B69" w:rsidP="00D61B06">
      <w:pPr>
        <w:pStyle w:val="FootnoteText"/>
        <w:rPr>
          <w:rFonts w:cstheme="minorHAnsi"/>
        </w:rPr>
      </w:pPr>
      <w:r w:rsidRPr="004B7F89">
        <w:rPr>
          <w:rStyle w:val="FootnoteReference"/>
          <w:rFonts w:cstheme="minorHAnsi"/>
        </w:rPr>
        <w:footnoteRef/>
      </w:r>
      <w:r w:rsidRPr="004B7F89">
        <w:rPr>
          <w:rFonts w:cstheme="minorHAnsi"/>
        </w:rPr>
        <w:t xml:space="preserve"> Clifford’s claim seems to make believing without evidence a moral wrong. Not everyone agrees there’s a specific </w:t>
      </w:r>
      <w:r w:rsidRPr="004B7F89">
        <w:rPr>
          <w:rFonts w:cstheme="minorHAnsi"/>
          <w:i/>
        </w:rPr>
        <w:t>moral</w:t>
      </w:r>
      <w:r w:rsidRPr="004B7F89">
        <w:rPr>
          <w:rFonts w:cstheme="minorHAnsi"/>
        </w:rPr>
        <w:t xml:space="preserve"> obligation to believe on the basis of evidence. But the general sentiment is that proper belief formation is based on good evidence. W.K. Clifford, “The Ethics of Belief,” in L. Stephen and F. Pollock, eds., </w:t>
      </w:r>
      <w:r w:rsidRPr="004B7F89">
        <w:rPr>
          <w:rFonts w:cstheme="minorHAnsi"/>
          <w:i/>
        </w:rPr>
        <w:t>Lectures and Essays</w:t>
      </w:r>
      <w:r w:rsidRPr="004B7F89">
        <w:rPr>
          <w:rFonts w:cstheme="minorHAnsi"/>
        </w:rPr>
        <w:t xml:space="preserve"> (London: Macmillan, 1886), 346. </w:t>
      </w:r>
    </w:p>
  </w:footnote>
  <w:footnote w:id="26">
    <w:p w14:paraId="1421C656" w14:textId="77777777" w:rsidR="00617B69" w:rsidRPr="004B7F89" w:rsidRDefault="00617B69" w:rsidP="002B355F">
      <w:pPr>
        <w:pStyle w:val="FootnoteText"/>
        <w:rPr>
          <w:rFonts w:cstheme="minorHAnsi"/>
        </w:rPr>
      </w:pPr>
      <w:r w:rsidRPr="004B7F89">
        <w:rPr>
          <w:rStyle w:val="FootnoteReference"/>
          <w:rFonts w:cstheme="minorHAnsi"/>
        </w:rPr>
        <w:footnoteRef/>
      </w:r>
      <w:r w:rsidRPr="004B7F89">
        <w:rPr>
          <w:rFonts w:cstheme="minorHAnsi"/>
        </w:rPr>
        <w:t xml:space="preserve"> Trent Dougherty, ed., </w:t>
      </w:r>
      <w:r w:rsidRPr="004B7F89">
        <w:rPr>
          <w:rFonts w:cstheme="minorHAnsi"/>
          <w:i/>
        </w:rPr>
        <w:t>Evidentialism and Its Discontents</w:t>
      </w:r>
      <w:r w:rsidRPr="004B7F89">
        <w:rPr>
          <w:rFonts w:cstheme="minorHAnsi"/>
        </w:rPr>
        <w:t xml:space="preserve"> (New York: Oxford University, 2011), 2.</w:t>
      </w:r>
    </w:p>
  </w:footnote>
  <w:footnote w:id="27">
    <w:p w14:paraId="03FB7468" w14:textId="26962D2C" w:rsidR="00617B69" w:rsidRPr="004B7F89" w:rsidRDefault="00617B69" w:rsidP="00291D36">
      <w:pPr>
        <w:pStyle w:val="FootnoteText"/>
        <w:rPr>
          <w:rFonts w:cstheme="minorHAnsi"/>
        </w:rPr>
      </w:pPr>
      <w:r w:rsidRPr="004B7F89">
        <w:rPr>
          <w:rStyle w:val="FootnoteReference"/>
          <w:rFonts w:cstheme="minorHAnsi"/>
        </w:rPr>
        <w:footnoteRef/>
      </w:r>
      <w:r w:rsidRPr="004B7F89">
        <w:rPr>
          <w:rFonts w:cstheme="minorHAnsi"/>
        </w:rPr>
        <w:t xml:space="preserve"> Earl Conee and Richard Feldman, </w:t>
      </w:r>
      <w:r w:rsidRPr="004B7F89">
        <w:rPr>
          <w:rStyle w:val="Emphasis"/>
          <w:rFonts w:cstheme="minorHAnsi"/>
        </w:rPr>
        <w:t>Evidentialism</w:t>
      </w:r>
      <w:r w:rsidRPr="004B7F89">
        <w:rPr>
          <w:rFonts w:cstheme="minorHAnsi"/>
        </w:rPr>
        <w:t xml:space="preserve"> (</w:t>
      </w:r>
      <w:r w:rsidR="00661757">
        <w:rPr>
          <w:rFonts w:cstheme="minorHAnsi"/>
        </w:rPr>
        <w:t>New York</w:t>
      </w:r>
      <w:r w:rsidRPr="004B7F89">
        <w:rPr>
          <w:rFonts w:cstheme="minorHAnsi"/>
        </w:rPr>
        <w:t>: Oxford University, 2004), 83.</w:t>
      </w:r>
    </w:p>
  </w:footnote>
  <w:footnote w:id="28">
    <w:p w14:paraId="5BD73A80" w14:textId="607462A7"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CF (2004), 84, n. 2.</w:t>
      </w:r>
    </w:p>
  </w:footnote>
  <w:footnote w:id="29">
    <w:p w14:paraId="704919C9" w14:textId="4F4A6797" w:rsidR="00617B69" w:rsidRPr="004B7F89" w:rsidRDefault="00617B69" w:rsidP="00931167">
      <w:pPr>
        <w:pStyle w:val="FootnoteText"/>
        <w:rPr>
          <w:rFonts w:cstheme="minorHAnsi"/>
        </w:rPr>
      </w:pPr>
      <w:r w:rsidRPr="004B7F89">
        <w:rPr>
          <w:rStyle w:val="FootnoteReference"/>
          <w:rFonts w:cstheme="minorHAnsi"/>
        </w:rPr>
        <w:footnoteRef/>
      </w:r>
      <w:r w:rsidRPr="004B7F89">
        <w:rPr>
          <w:rFonts w:cstheme="minorHAnsi"/>
        </w:rPr>
        <w:t xml:space="preserve"> Some recent works intended to address these things include Trent Dougherty (2011</w:t>
      </w:r>
      <w:r w:rsidRPr="004B7F89">
        <w:rPr>
          <w:rFonts w:cstheme="minorHAnsi"/>
          <w:i/>
        </w:rPr>
        <w:t>) Evidentialism and Its Discontents</w:t>
      </w:r>
      <w:r w:rsidRPr="004B7F89">
        <w:rPr>
          <w:rFonts w:cstheme="minorHAnsi"/>
        </w:rPr>
        <w:t xml:space="preserve"> (New York: Oxford University Press); Kevin McCain, </w:t>
      </w:r>
      <w:r w:rsidRPr="004B7F89">
        <w:rPr>
          <w:rFonts w:cstheme="minorHAnsi"/>
          <w:i/>
        </w:rPr>
        <w:t xml:space="preserve">Evidentialism and Epistemic Justification </w:t>
      </w:r>
      <w:r w:rsidRPr="004B7F89">
        <w:rPr>
          <w:rFonts w:cstheme="minorHAnsi"/>
        </w:rPr>
        <w:t>(New York: Routledge, 2014), 10.</w:t>
      </w:r>
    </w:p>
  </w:footnote>
  <w:footnote w:id="30">
    <w:p w14:paraId="70638A43" w14:textId="23A5822A"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For a defense of the importance of a subject’s assurance see Richard Fumerton “Epistemic Internalism, Philosophical Assurance and the Skeptical Predicament.” in </w:t>
      </w:r>
      <w:r w:rsidRPr="004B7F89">
        <w:rPr>
          <w:rStyle w:val="Emphasis"/>
          <w:rFonts w:cstheme="minorHAnsi"/>
        </w:rPr>
        <w:t>Knowledge and Reality: Essays in honor of Alvin Plantinga</w:t>
      </w:r>
      <w:r w:rsidRPr="004B7F89">
        <w:rPr>
          <w:rFonts w:cstheme="minorHAnsi"/>
        </w:rPr>
        <w:t xml:space="preserve">, </w:t>
      </w:r>
      <w:r w:rsidR="00661757" w:rsidRPr="004B7F89">
        <w:rPr>
          <w:rFonts w:cstheme="minorHAnsi"/>
        </w:rPr>
        <w:t>(</w:t>
      </w:r>
      <w:r w:rsidR="00661757">
        <w:rPr>
          <w:rFonts w:cstheme="minorHAnsi"/>
        </w:rPr>
        <w:t>Dordrecht, The Netherlands: Springer, 2010</w:t>
      </w:r>
      <w:r w:rsidR="00661757" w:rsidRPr="004B7F89">
        <w:rPr>
          <w:rFonts w:cstheme="minorHAnsi"/>
        </w:rPr>
        <w:t xml:space="preserve">) </w:t>
      </w:r>
      <w:r w:rsidRPr="004B7F89">
        <w:rPr>
          <w:rFonts w:cstheme="minorHAnsi"/>
        </w:rPr>
        <w:t>179-191.</w:t>
      </w:r>
    </w:p>
  </w:footnote>
  <w:footnote w:id="31">
    <w:p w14:paraId="77C86ABE" w14:textId="1F7F5941" w:rsidR="00617B69" w:rsidRPr="004B7F89" w:rsidRDefault="00617B69" w:rsidP="002B355F">
      <w:pPr>
        <w:pStyle w:val="FootnoteText"/>
        <w:rPr>
          <w:rFonts w:cstheme="minorHAnsi"/>
        </w:rPr>
      </w:pPr>
      <w:r w:rsidRPr="004B7F89">
        <w:rPr>
          <w:rStyle w:val="FootnoteReference"/>
          <w:rFonts w:cstheme="minorHAnsi"/>
        </w:rPr>
        <w:footnoteRef/>
      </w:r>
      <w:r w:rsidRPr="004B7F89">
        <w:rPr>
          <w:rFonts w:cstheme="minorHAnsi"/>
        </w:rPr>
        <w:t xml:space="preserve"> Laurence BonJour, </w:t>
      </w:r>
      <w:r w:rsidRPr="00661757">
        <w:rPr>
          <w:rFonts w:cstheme="minorHAnsi"/>
          <w:i/>
        </w:rPr>
        <w:t>The Structure of Empirical Knowledge</w:t>
      </w:r>
      <w:r w:rsidRPr="004B7F89">
        <w:rPr>
          <w:rFonts w:cstheme="minorHAnsi"/>
        </w:rPr>
        <w:t xml:space="preserve"> (Cambridge: Harvard University, 1985), 41. </w:t>
      </w:r>
    </w:p>
  </w:footnote>
  <w:footnote w:id="32">
    <w:p w14:paraId="5EB401F8" w14:textId="37A9AB7C" w:rsidR="00617B69" w:rsidRPr="004B7F89" w:rsidRDefault="00617B69" w:rsidP="002B355F">
      <w:pPr>
        <w:pStyle w:val="FootnoteText"/>
        <w:rPr>
          <w:rFonts w:cstheme="minorHAnsi"/>
        </w:rPr>
      </w:pPr>
      <w:r w:rsidRPr="004B7F89">
        <w:rPr>
          <w:rStyle w:val="FootnoteReference"/>
          <w:rFonts w:cstheme="minorHAnsi"/>
        </w:rPr>
        <w:footnoteRef/>
      </w:r>
      <w:r w:rsidR="00661757">
        <w:rPr>
          <w:rFonts w:cstheme="minorHAnsi"/>
        </w:rPr>
        <w:t xml:space="preserve"> BonJour, </w:t>
      </w:r>
      <w:r w:rsidR="00661757" w:rsidRPr="00661757">
        <w:rPr>
          <w:rFonts w:cstheme="minorHAnsi"/>
          <w:i/>
        </w:rPr>
        <w:t>The Structure of Empirical Knowledge</w:t>
      </w:r>
      <w:r w:rsidR="00661757">
        <w:rPr>
          <w:rFonts w:cstheme="minorHAnsi"/>
          <w:i/>
        </w:rPr>
        <w:t>,</w:t>
      </w:r>
      <w:r w:rsidR="00661757" w:rsidRPr="004B7F89">
        <w:rPr>
          <w:rFonts w:cstheme="minorHAnsi"/>
        </w:rPr>
        <w:t xml:space="preserve"> </w:t>
      </w:r>
      <w:r w:rsidRPr="004B7F89">
        <w:rPr>
          <w:rFonts w:cstheme="minorHAnsi"/>
        </w:rPr>
        <w:t>43–44.</w:t>
      </w:r>
    </w:p>
  </w:footnote>
  <w:footnote w:id="33">
    <w:p w14:paraId="0CD5F9A9" w14:textId="125BC688"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See Dougherty</w:t>
      </w:r>
      <w:r w:rsidR="00661757">
        <w:rPr>
          <w:rFonts w:cstheme="minorHAnsi"/>
        </w:rPr>
        <w:t>,</w:t>
      </w:r>
      <w:r w:rsidRPr="004B7F89">
        <w:rPr>
          <w:rFonts w:cstheme="minorHAnsi"/>
        </w:rPr>
        <w:t xml:space="preserve"> “Faith, Trust, and Testimony</w:t>
      </w:r>
      <w:r w:rsidR="00661757">
        <w:rPr>
          <w:rFonts w:cstheme="minorHAnsi"/>
        </w:rPr>
        <w:t>,</w:t>
      </w:r>
      <w:r w:rsidRPr="004B7F89">
        <w:rPr>
          <w:rFonts w:cstheme="minorHAnsi"/>
        </w:rPr>
        <w:t>”</w:t>
      </w:r>
      <w:r w:rsidR="00661757">
        <w:rPr>
          <w:rFonts w:cstheme="minorHAnsi"/>
        </w:rPr>
        <w:t xml:space="preserve"> 97-123.</w:t>
      </w:r>
    </w:p>
  </w:footnote>
  <w:footnote w:id="34">
    <w:p w14:paraId="33EF0C9B" w14:textId="049BDC92" w:rsidR="00617B69" w:rsidRPr="004B7F89" w:rsidRDefault="00617B69">
      <w:pPr>
        <w:pStyle w:val="FootnoteText"/>
        <w:rPr>
          <w:rFonts w:cstheme="minorHAnsi"/>
        </w:rPr>
      </w:pPr>
      <w:r w:rsidRPr="004B7F89">
        <w:rPr>
          <w:rStyle w:val="FootnoteReference"/>
          <w:rFonts w:cstheme="minorHAnsi"/>
        </w:rPr>
        <w:footnoteRef/>
      </w:r>
      <w:r w:rsidRPr="004B7F89">
        <w:rPr>
          <w:rFonts w:cstheme="minorHAnsi"/>
        </w:rPr>
        <w:t xml:space="preserve"> T</w:t>
      </w:r>
      <w:r w:rsidR="00661757">
        <w:rPr>
          <w:rFonts w:cstheme="minorHAnsi"/>
        </w:rPr>
        <w:t xml:space="preserve">his is an example from Swinburne, </w:t>
      </w:r>
      <w:r w:rsidR="00661757" w:rsidRPr="00661757">
        <w:rPr>
          <w:rFonts w:cstheme="minorHAnsi"/>
          <w:i/>
        </w:rPr>
        <w:t>Faith and Reason</w:t>
      </w:r>
      <w:r w:rsidRPr="004B7F89">
        <w:rPr>
          <w:rFonts w:cstheme="minorHAnsi"/>
        </w:rPr>
        <w:t>, 143.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A7213"/>
    <w:multiLevelType w:val="hybridMultilevel"/>
    <w:tmpl w:val="94528100"/>
    <w:lvl w:ilvl="0" w:tplc="D1121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B96A3C"/>
    <w:multiLevelType w:val="hybridMultilevel"/>
    <w:tmpl w:val="EC38C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54B"/>
    <w:rsid w:val="00011616"/>
    <w:rsid w:val="000243E6"/>
    <w:rsid w:val="000314B5"/>
    <w:rsid w:val="00033C6F"/>
    <w:rsid w:val="00036FBC"/>
    <w:rsid w:val="000426A6"/>
    <w:rsid w:val="00074CD8"/>
    <w:rsid w:val="000902FC"/>
    <w:rsid w:val="00094D3B"/>
    <w:rsid w:val="000A05E7"/>
    <w:rsid w:val="000A4F26"/>
    <w:rsid w:val="000B155C"/>
    <w:rsid w:val="000E713F"/>
    <w:rsid w:val="000F4471"/>
    <w:rsid w:val="00102852"/>
    <w:rsid w:val="00102A87"/>
    <w:rsid w:val="00111654"/>
    <w:rsid w:val="00111777"/>
    <w:rsid w:val="0011437B"/>
    <w:rsid w:val="00120673"/>
    <w:rsid w:val="00122497"/>
    <w:rsid w:val="0012440C"/>
    <w:rsid w:val="00131230"/>
    <w:rsid w:val="00132F4D"/>
    <w:rsid w:val="001333FF"/>
    <w:rsid w:val="00136487"/>
    <w:rsid w:val="00143EDD"/>
    <w:rsid w:val="001455C0"/>
    <w:rsid w:val="00151472"/>
    <w:rsid w:val="001552F7"/>
    <w:rsid w:val="0015724A"/>
    <w:rsid w:val="001650B5"/>
    <w:rsid w:val="00192F26"/>
    <w:rsid w:val="001977A5"/>
    <w:rsid w:val="001A4BEA"/>
    <w:rsid w:val="001A66C3"/>
    <w:rsid w:val="001B4B05"/>
    <w:rsid w:val="001B56E0"/>
    <w:rsid w:val="001C333B"/>
    <w:rsid w:val="001E7217"/>
    <w:rsid w:val="001F3075"/>
    <w:rsid w:val="001F3521"/>
    <w:rsid w:val="001F7D32"/>
    <w:rsid w:val="00210CF4"/>
    <w:rsid w:val="002138A3"/>
    <w:rsid w:val="0022506B"/>
    <w:rsid w:val="0023039A"/>
    <w:rsid w:val="0025416E"/>
    <w:rsid w:val="0026469E"/>
    <w:rsid w:val="00283049"/>
    <w:rsid w:val="00291D36"/>
    <w:rsid w:val="0029237C"/>
    <w:rsid w:val="00293E32"/>
    <w:rsid w:val="002A7425"/>
    <w:rsid w:val="002B1AB4"/>
    <w:rsid w:val="002B355F"/>
    <w:rsid w:val="002C33D3"/>
    <w:rsid w:val="002D2436"/>
    <w:rsid w:val="002D3CC7"/>
    <w:rsid w:val="002D7589"/>
    <w:rsid w:val="002E0E63"/>
    <w:rsid w:val="002E1658"/>
    <w:rsid w:val="002E5B98"/>
    <w:rsid w:val="002F7134"/>
    <w:rsid w:val="0031135A"/>
    <w:rsid w:val="00313720"/>
    <w:rsid w:val="00327F4A"/>
    <w:rsid w:val="00332CB4"/>
    <w:rsid w:val="00351B64"/>
    <w:rsid w:val="0036136B"/>
    <w:rsid w:val="00363349"/>
    <w:rsid w:val="0037039A"/>
    <w:rsid w:val="003709DF"/>
    <w:rsid w:val="0037774B"/>
    <w:rsid w:val="003801CD"/>
    <w:rsid w:val="0039765A"/>
    <w:rsid w:val="003A2C3C"/>
    <w:rsid w:val="003A4562"/>
    <w:rsid w:val="003B0ECE"/>
    <w:rsid w:val="003C0F24"/>
    <w:rsid w:val="003C1C1E"/>
    <w:rsid w:val="003C46B0"/>
    <w:rsid w:val="003C4F11"/>
    <w:rsid w:val="003D3CD7"/>
    <w:rsid w:val="003F78FF"/>
    <w:rsid w:val="00412EC2"/>
    <w:rsid w:val="00420FA8"/>
    <w:rsid w:val="00423E04"/>
    <w:rsid w:val="00435EEA"/>
    <w:rsid w:val="00444B0D"/>
    <w:rsid w:val="00453EB4"/>
    <w:rsid w:val="0046066E"/>
    <w:rsid w:val="00464580"/>
    <w:rsid w:val="004705A4"/>
    <w:rsid w:val="004735E9"/>
    <w:rsid w:val="0047552B"/>
    <w:rsid w:val="00484BAC"/>
    <w:rsid w:val="004864FB"/>
    <w:rsid w:val="00497047"/>
    <w:rsid w:val="004A6147"/>
    <w:rsid w:val="004A7BD5"/>
    <w:rsid w:val="004B7F89"/>
    <w:rsid w:val="004C1431"/>
    <w:rsid w:val="004C1CE4"/>
    <w:rsid w:val="004C3F1B"/>
    <w:rsid w:val="004C7738"/>
    <w:rsid w:val="004D2C0A"/>
    <w:rsid w:val="004E4DFE"/>
    <w:rsid w:val="004E5C45"/>
    <w:rsid w:val="004E5E7F"/>
    <w:rsid w:val="004F5DAD"/>
    <w:rsid w:val="00504C9C"/>
    <w:rsid w:val="00514842"/>
    <w:rsid w:val="005260E1"/>
    <w:rsid w:val="005266F3"/>
    <w:rsid w:val="00536F8A"/>
    <w:rsid w:val="00537D9C"/>
    <w:rsid w:val="00541EA6"/>
    <w:rsid w:val="00542BD1"/>
    <w:rsid w:val="005436E5"/>
    <w:rsid w:val="00557A2F"/>
    <w:rsid w:val="005631D7"/>
    <w:rsid w:val="0056327B"/>
    <w:rsid w:val="00570135"/>
    <w:rsid w:val="0057371E"/>
    <w:rsid w:val="005807E0"/>
    <w:rsid w:val="00584245"/>
    <w:rsid w:val="00586CE3"/>
    <w:rsid w:val="005901F4"/>
    <w:rsid w:val="00593379"/>
    <w:rsid w:val="0059524B"/>
    <w:rsid w:val="00596920"/>
    <w:rsid w:val="005A2E03"/>
    <w:rsid w:val="005B4A96"/>
    <w:rsid w:val="005D5CAC"/>
    <w:rsid w:val="005E303B"/>
    <w:rsid w:val="00603829"/>
    <w:rsid w:val="00603976"/>
    <w:rsid w:val="00604C00"/>
    <w:rsid w:val="00607E6D"/>
    <w:rsid w:val="00617B69"/>
    <w:rsid w:val="006225F6"/>
    <w:rsid w:val="00626EAD"/>
    <w:rsid w:val="00627106"/>
    <w:rsid w:val="00630C18"/>
    <w:rsid w:val="006424EC"/>
    <w:rsid w:val="00642CE8"/>
    <w:rsid w:val="0065434F"/>
    <w:rsid w:val="00657EC2"/>
    <w:rsid w:val="00661757"/>
    <w:rsid w:val="006672AD"/>
    <w:rsid w:val="00673F65"/>
    <w:rsid w:val="00684F9E"/>
    <w:rsid w:val="00696D46"/>
    <w:rsid w:val="006A2F12"/>
    <w:rsid w:val="006A5AB4"/>
    <w:rsid w:val="006A5F6F"/>
    <w:rsid w:val="006B0FBE"/>
    <w:rsid w:val="006B1DAC"/>
    <w:rsid w:val="006B31E5"/>
    <w:rsid w:val="006C5282"/>
    <w:rsid w:val="006D3CD1"/>
    <w:rsid w:val="006E0D14"/>
    <w:rsid w:val="006E117B"/>
    <w:rsid w:val="006E2450"/>
    <w:rsid w:val="006F0EDC"/>
    <w:rsid w:val="007012C9"/>
    <w:rsid w:val="007114C4"/>
    <w:rsid w:val="00716889"/>
    <w:rsid w:val="00716CF0"/>
    <w:rsid w:val="00717CC9"/>
    <w:rsid w:val="007231E6"/>
    <w:rsid w:val="00726C9B"/>
    <w:rsid w:val="0073149C"/>
    <w:rsid w:val="00732E30"/>
    <w:rsid w:val="00751136"/>
    <w:rsid w:val="00754E17"/>
    <w:rsid w:val="00762C7C"/>
    <w:rsid w:val="00762EA0"/>
    <w:rsid w:val="00792094"/>
    <w:rsid w:val="00797C1D"/>
    <w:rsid w:val="007A5DA7"/>
    <w:rsid w:val="007A7FFE"/>
    <w:rsid w:val="007B66F0"/>
    <w:rsid w:val="007B7784"/>
    <w:rsid w:val="007C0E54"/>
    <w:rsid w:val="007C1279"/>
    <w:rsid w:val="007D7097"/>
    <w:rsid w:val="007E0710"/>
    <w:rsid w:val="007E5564"/>
    <w:rsid w:val="007F4755"/>
    <w:rsid w:val="007F5E67"/>
    <w:rsid w:val="0080442D"/>
    <w:rsid w:val="0080544F"/>
    <w:rsid w:val="00810066"/>
    <w:rsid w:val="008145D8"/>
    <w:rsid w:val="008165A4"/>
    <w:rsid w:val="008328A0"/>
    <w:rsid w:val="00850C85"/>
    <w:rsid w:val="00861ACD"/>
    <w:rsid w:val="00861CD9"/>
    <w:rsid w:val="00873B69"/>
    <w:rsid w:val="00877591"/>
    <w:rsid w:val="008918C8"/>
    <w:rsid w:val="008949BA"/>
    <w:rsid w:val="0089796E"/>
    <w:rsid w:val="008B265B"/>
    <w:rsid w:val="008B5C11"/>
    <w:rsid w:val="008C59E7"/>
    <w:rsid w:val="008C6643"/>
    <w:rsid w:val="008C664F"/>
    <w:rsid w:val="008C7A67"/>
    <w:rsid w:val="008D1E82"/>
    <w:rsid w:val="008D6D40"/>
    <w:rsid w:val="008D6F03"/>
    <w:rsid w:val="00913D7D"/>
    <w:rsid w:val="009212B4"/>
    <w:rsid w:val="009222BD"/>
    <w:rsid w:val="00925D7B"/>
    <w:rsid w:val="00926C1E"/>
    <w:rsid w:val="00930C6C"/>
    <w:rsid w:val="00931167"/>
    <w:rsid w:val="00931390"/>
    <w:rsid w:val="00932A90"/>
    <w:rsid w:val="0093684A"/>
    <w:rsid w:val="00941C00"/>
    <w:rsid w:val="0094276A"/>
    <w:rsid w:val="0094308A"/>
    <w:rsid w:val="0094653E"/>
    <w:rsid w:val="00960D79"/>
    <w:rsid w:val="00963C3F"/>
    <w:rsid w:val="0096454B"/>
    <w:rsid w:val="00976FE6"/>
    <w:rsid w:val="00992433"/>
    <w:rsid w:val="00992F9E"/>
    <w:rsid w:val="00997F5B"/>
    <w:rsid w:val="009C07E8"/>
    <w:rsid w:val="009C2BEA"/>
    <w:rsid w:val="009C395C"/>
    <w:rsid w:val="009E4ABB"/>
    <w:rsid w:val="009E729E"/>
    <w:rsid w:val="00A00241"/>
    <w:rsid w:val="00A022EB"/>
    <w:rsid w:val="00A06CCC"/>
    <w:rsid w:val="00A168B5"/>
    <w:rsid w:val="00A174CB"/>
    <w:rsid w:val="00A20A53"/>
    <w:rsid w:val="00A24464"/>
    <w:rsid w:val="00A35C86"/>
    <w:rsid w:val="00A36B79"/>
    <w:rsid w:val="00A40473"/>
    <w:rsid w:val="00A409DD"/>
    <w:rsid w:val="00A41B56"/>
    <w:rsid w:val="00A44B6F"/>
    <w:rsid w:val="00A45F2E"/>
    <w:rsid w:val="00A60D80"/>
    <w:rsid w:val="00A6249A"/>
    <w:rsid w:val="00A64712"/>
    <w:rsid w:val="00A74F6E"/>
    <w:rsid w:val="00A87BA3"/>
    <w:rsid w:val="00A938DE"/>
    <w:rsid w:val="00A956ED"/>
    <w:rsid w:val="00AA3AF9"/>
    <w:rsid w:val="00AA3B08"/>
    <w:rsid w:val="00AB11C1"/>
    <w:rsid w:val="00AB7452"/>
    <w:rsid w:val="00AC48F7"/>
    <w:rsid w:val="00AC54EE"/>
    <w:rsid w:val="00AE345D"/>
    <w:rsid w:val="00AE3974"/>
    <w:rsid w:val="00B013F2"/>
    <w:rsid w:val="00B01AF7"/>
    <w:rsid w:val="00B2472E"/>
    <w:rsid w:val="00B27701"/>
    <w:rsid w:val="00B3611C"/>
    <w:rsid w:val="00B62809"/>
    <w:rsid w:val="00B70BCD"/>
    <w:rsid w:val="00B717E5"/>
    <w:rsid w:val="00B7209E"/>
    <w:rsid w:val="00B80E85"/>
    <w:rsid w:val="00B817CD"/>
    <w:rsid w:val="00B930EB"/>
    <w:rsid w:val="00B965CF"/>
    <w:rsid w:val="00BA2E14"/>
    <w:rsid w:val="00BA3CF2"/>
    <w:rsid w:val="00BC28E4"/>
    <w:rsid w:val="00BD06D4"/>
    <w:rsid w:val="00BD6619"/>
    <w:rsid w:val="00BE5765"/>
    <w:rsid w:val="00BE5EEF"/>
    <w:rsid w:val="00BF1211"/>
    <w:rsid w:val="00BF2FA6"/>
    <w:rsid w:val="00BF4F23"/>
    <w:rsid w:val="00C12517"/>
    <w:rsid w:val="00C15974"/>
    <w:rsid w:val="00C215DB"/>
    <w:rsid w:val="00C3088B"/>
    <w:rsid w:val="00C45AFD"/>
    <w:rsid w:val="00C53643"/>
    <w:rsid w:val="00C633F8"/>
    <w:rsid w:val="00C63C8C"/>
    <w:rsid w:val="00C64423"/>
    <w:rsid w:val="00C85B3F"/>
    <w:rsid w:val="00C933D1"/>
    <w:rsid w:val="00CA3283"/>
    <w:rsid w:val="00CD10F1"/>
    <w:rsid w:val="00CD532F"/>
    <w:rsid w:val="00CE652D"/>
    <w:rsid w:val="00D02A06"/>
    <w:rsid w:val="00D11D3F"/>
    <w:rsid w:val="00D17AD5"/>
    <w:rsid w:val="00D21A0B"/>
    <w:rsid w:val="00D37AEA"/>
    <w:rsid w:val="00D423AD"/>
    <w:rsid w:val="00D53278"/>
    <w:rsid w:val="00D60997"/>
    <w:rsid w:val="00D61B06"/>
    <w:rsid w:val="00D814F2"/>
    <w:rsid w:val="00D84CB0"/>
    <w:rsid w:val="00DA3267"/>
    <w:rsid w:val="00DA40B4"/>
    <w:rsid w:val="00DB0458"/>
    <w:rsid w:val="00DB0FBD"/>
    <w:rsid w:val="00DB4907"/>
    <w:rsid w:val="00DE57D6"/>
    <w:rsid w:val="00DF1F36"/>
    <w:rsid w:val="00DF56E5"/>
    <w:rsid w:val="00E03D6B"/>
    <w:rsid w:val="00E0426E"/>
    <w:rsid w:val="00E07A31"/>
    <w:rsid w:val="00E13154"/>
    <w:rsid w:val="00E1562A"/>
    <w:rsid w:val="00E228A8"/>
    <w:rsid w:val="00E30A5D"/>
    <w:rsid w:val="00E37A92"/>
    <w:rsid w:val="00E63137"/>
    <w:rsid w:val="00E632D5"/>
    <w:rsid w:val="00E752E3"/>
    <w:rsid w:val="00E91DDC"/>
    <w:rsid w:val="00EA3756"/>
    <w:rsid w:val="00ED1735"/>
    <w:rsid w:val="00EE5DFD"/>
    <w:rsid w:val="00F17B0B"/>
    <w:rsid w:val="00F25439"/>
    <w:rsid w:val="00F441AC"/>
    <w:rsid w:val="00F4539C"/>
    <w:rsid w:val="00F67B71"/>
    <w:rsid w:val="00F76429"/>
    <w:rsid w:val="00F85033"/>
    <w:rsid w:val="00F90752"/>
    <w:rsid w:val="00F94570"/>
    <w:rsid w:val="00FA1131"/>
    <w:rsid w:val="00FA1914"/>
    <w:rsid w:val="00FA69DA"/>
    <w:rsid w:val="00FB2F60"/>
    <w:rsid w:val="00FB70B8"/>
    <w:rsid w:val="00FF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05DA6"/>
  <w15:chartTrackingRefBased/>
  <w15:docId w15:val="{C1726F43-B058-4DD8-8DDB-A4A5D27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F4755"/>
    <w:pPr>
      <w:spacing w:after="0" w:line="240" w:lineRule="auto"/>
    </w:pPr>
    <w:rPr>
      <w:sz w:val="20"/>
      <w:szCs w:val="20"/>
    </w:rPr>
  </w:style>
  <w:style w:type="character" w:customStyle="1" w:styleId="FootnoteTextChar">
    <w:name w:val="Footnote Text Char"/>
    <w:basedOn w:val="DefaultParagraphFont"/>
    <w:link w:val="FootnoteText"/>
    <w:uiPriority w:val="99"/>
    <w:rsid w:val="007F4755"/>
    <w:rPr>
      <w:sz w:val="20"/>
      <w:szCs w:val="20"/>
    </w:rPr>
  </w:style>
  <w:style w:type="character" w:styleId="FootnoteReference">
    <w:name w:val="footnote reference"/>
    <w:basedOn w:val="DefaultParagraphFont"/>
    <w:uiPriority w:val="99"/>
    <w:unhideWhenUsed/>
    <w:rsid w:val="007F4755"/>
    <w:rPr>
      <w:vertAlign w:val="superscript"/>
    </w:rPr>
  </w:style>
  <w:style w:type="character" w:styleId="Emphasis">
    <w:name w:val="Emphasis"/>
    <w:basedOn w:val="DefaultParagraphFont"/>
    <w:uiPriority w:val="20"/>
    <w:qFormat/>
    <w:rsid w:val="002B355F"/>
    <w:rPr>
      <w:i/>
      <w:iCs/>
    </w:rPr>
  </w:style>
  <w:style w:type="character" w:customStyle="1" w:styleId="sen">
    <w:name w:val="sen"/>
    <w:basedOn w:val="DefaultParagraphFont"/>
    <w:rsid w:val="002B355F"/>
  </w:style>
  <w:style w:type="paragraph" w:styleId="Header">
    <w:name w:val="header"/>
    <w:basedOn w:val="Normal"/>
    <w:link w:val="HeaderChar"/>
    <w:uiPriority w:val="99"/>
    <w:unhideWhenUsed/>
    <w:rsid w:val="00311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35A"/>
  </w:style>
  <w:style w:type="paragraph" w:styleId="Footer">
    <w:name w:val="footer"/>
    <w:basedOn w:val="Normal"/>
    <w:link w:val="FooterChar"/>
    <w:uiPriority w:val="99"/>
    <w:unhideWhenUsed/>
    <w:rsid w:val="00311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35A"/>
  </w:style>
  <w:style w:type="character" w:styleId="Hyperlink">
    <w:name w:val="Hyperlink"/>
    <w:basedOn w:val="DefaultParagraphFont"/>
    <w:uiPriority w:val="99"/>
    <w:unhideWhenUsed/>
    <w:rsid w:val="00102A87"/>
    <w:rPr>
      <w:color w:val="0563C1" w:themeColor="hyperlink"/>
      <w:u w:val="single"/>
    </w:rPr>
  </w:style>
  <w:style w:type="paragraph" w:styleId="ListParagraph">
    <w:name w:val="List Paragraph"/>
    <w:basedOn w:val="Normal"/>
    <w:uiPriority w:val="34"/>
    <w:qFormat/>
    <w:rsid w:val="0080544F"/>
    <w:pPr>
      <w:ind w:left="720"/>
      <w:contextualSpacing/>
    </w:pPr>
  </w:style>
  <w:style w:type="paragraph" w:styleId="BalloonText">
    <w:name w:val="Balloon Text"/>
    <w:basedOn w:val="Normal"/>
    <w:link w:val="BalloonTextChar"/>
    <w:uiPriority w:val="99"/>
    <w:semiHidden/>
    <w:unhideWhenUsed/>
    <w:rsid w:val="003D3CD7"/>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3D3CD7"/>
    <w:rPr>
      <w:rFonts w:ascii="Calibri" w:hAnsi="Calibri" w:cs="Calibri"/>
      <w:sz w:val="18"/>
      <w:szCs w:val="18"/>
    </w:rPr>
  </w:style>
  <w:style w:type="character" w:styleId="Strong">
    <w:name w:val="Strong"/>
    <w:basedOn w:val="DefaultParagraphFont"/>
    <w:uiPriority w:val="22"/>
    <w:qFormat/>
    <w:rsid w:val="00225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0021">
      <w:bodyDiv w:val="1"/>
      <w:marLeft w:val="0"/>
      <w:marRight w:val="0"/>
      <w:marTop w:val="0"/>
      <w:marBottom w:val="0"/>
      <w:divBdr>
        <w:top w:val="none" w:sz="0" w:space="0" w:color="auto"/>
        <w:left w:val="none" w:sz="0" w:space="0" w:color="auto"/>
        <w:bottom w:val="none" w:sz="0" w:space="0" w:color="auto"/>
        <w:right w:val="none" w:sz="0" w:space="0" w:color="auto"/>
      </w:divBdr>
    </w:div>
    <w:div w:id="1206059820">
      <w:bodyDiv w:val="1"/>
      <w:marLeft w:val="0"/>
      <w:marRight w:val="0"/>
      <w:marTop w:val="0"/>
      <w:marBottom w:val="0"/>
      <w:divBdr>
        <w:top w:val="none" w:sz="0" w:space="0" w:color="auto"/>
        <w:left w:val="none" w:sz="0" w:space="0" w:color="auto"/>
        <w:bottom w:val="none" w:sz="0" w:space="0" w:color="auto"/>
        <w:right w:val="none" w:sz="0" w:space="0" w:color="auto"/>
      </w:divBdr>
    </w:div>
    <w:div w:id="1640572989">
      <w:bodyDiv w:val="1"/>
      <w:marLeft w:val="0"/>
      <w:marRight w:val="0"/>
      <w:marTop w:val="0"/>
      <w:marBottom w:val="0"/>
      <w:divBdr>
        <w:top w:val="none" w:sz="0" w:space="0" w:color="auto"/>
        <w:left w:val="none" w:sz="0" w:space="0" w:color="auto"/>
        <w:bottom w:val="none" w:sz="0" w:space="0" w:color="auto"/>
        <w:right w:val="none" w:sz="0" w:space="0" w:color="auto"/>
      </w:divBdr>
    </w:div>
    <w:div w:id="1751388355">
      <w:bodyDiv w:val="1"/>
      <w:marLeft w:val="0"/>
      <w:marRight w:val="0"/>
      <w:marTop w:val="0"/>
      <w:marBottom w:val="0"/>
      <w:divBdr>
        <w:top w:val="none" w:sz="0" w:space="0" w:color="auto"/>
        <w:left w:val="none" w:sz="0" w:space="0" w:color="auto"/>
        <w:bottom w:val="none" w:sz="0" w:space="0" w:color="auto"/>
        <w:right w:val="none" w:sz="0" w:space="0" w:color="auto"/>
      </w:divBdr>
      <w:divsChild>
        <w:div w:id="597253445">
          <w:marLeft w:val="0"/>
          <w:marRight w:val="0"/>
          <w:marTop w:val="0"/>
          <w:marBottom w:val="0"/>
          <w:divBdr>
            <w:top w:val="none" w:sz="0" w:space="0" w:color="auto"/>
            <w:left w:val="none" w:sz="0" w:space="0" w:color="auto"/>
            <w:bottom w:val="none" w:sz="0" w:space="0" w:color="auto"/>
            <w:right w:val="none" w:sz="0" w:space="0" w:color="auto"/>
          </w:divBdr>
        </w:div>
        <w:div w:id="778599031">
          <w:marLeft w:val="0"/>
          <w:marRight w:val="0"/>
          <w:marTop w:val="0"/>
          <w:marBottom w:val="0"/>
          <w:divBdr>
            <w:top w:val="none" w:sz="0" w:space="0" w:color="auto"/>
            <w:left w:val="none" w:sz="0" w:space="0" w:color="auto"/>
            <w:bottom w:val="none" w:sz="0" w:space="0" w:color="auto"/>
            <w:right w:val="none" w:sz="0" w:space="0" w:color="auto"/>
          </w:divBdr>
        </w:div>
        <w:div w:id="1225141259">
          <w:marLeft w:val="0"/>
          <w:marRight w:val="0"/>
          <w:marTop w:val="0"/>
          <w:marBottom w:val="0"/>
          <w:divBdr>
            <w:top w:val="none" w:sz="0" w:space="0" w:color="auto"/>
            <w:left w:val="none" w:sz="0" w:space="0" w:color="auto"/>
            <w:bottom w:val="none" w:sz="0" w:space="0" w:color="auto"/>
            <w:right w:val="none" w:sz="0" w:space="0" w:color="auto"/>
          </w:divBdr>
        </w:div>
        <w:div w:id="1601061685">
          <w:marLeft w:val="0"/>
          <w:marRight w:val="0"/>
          <w:marTop w:val="0"/>
          <w:marBottom w:val="0"/>
          <w:divBdr>
            <w:top w:val="none" w:sz="0" w:space="0" w:color="auto"/>
            <w:left w:val="none" w:sz="0" w:space="0" w:color="auto"/>
            <w:bottom w:val="none" w:sz="0" w:space="0" w:color="auto"/>
            <w:right w:val="none" w:sz="0" w:space="0" w:color="auto"/>
          </w:divBdr>
        </w:div>
        <w:div w:id="2078742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isdickins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natureandvalueoffa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8E502-1AD0-43AF-BA77-A1C0B9AF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1463</TotalTime>
  <Pages>22</Pages>
  <Words>6336</Words>
  <Characters>36117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Dickinson, Travis</dc:creator>
  <cp:keywords/>
  <dc:description/>
  <cp:lastModifiedBy>Dickinson, Travis</cp:lastModifiedBy>
  <cp:revision>10</cp:revision>
  <cp:lastPrinted>2019-02-07T02:45:00Z</cp:lastPrinted>
  <dcterms:created xsi:type="dcterms:W3CDTF">2019-02-07T02:30:00Z</dcterms:created>
  <dcterms:modified xsi:type="dcterms:W3CDTF">2019-02-11T19:32:00Z</dcterms:modified>
</cp:coreProperties>
</file>